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AB79B" w14:textId="4981C74E" w:rsidR="00032764" w:rsidRDefault="00032764">
      <w:r w:rsidRPr="00201567">
        <w:rPr>
          <w:i/>
          <w:iCs/>
          <w:sz w:val="28"/>
          <w:szCs w:val="28"/>
        </w:rPr>
        <w:t>“How can we safely store research data?”</w:t>
      </w:r>
    </w:p>
    <w:p w14:paraId="33F3207E" w14:textId="0349A2C7" w:rsidR="00032764" w:rsidRDefault="00032764">
      <w:r w:rsidRPr="00032764">
        <w:t xml:space="preserve">The goal of this project is to create a piece of software that employs best practices for maintaining participant privacy while facilitating data analysis for research. </w:t>
      </w:r>
    </w:p>
    <w:p w14:paraId="74838FD0" w14:textId="2FF4482E" w:rsidR="00201567" w:rsidRDefault="00377879" w:rsidP="00377879">
      <w:r>
        <w:t>Sharing data safely while preserving privacy</w:t>
      </w:r>
    </w:p>
    <w:tbl>
      <w:tblPr>
        <w:tblStyle w:val="TableGrid"/>
        <w:tblpPr w:leftFromText="180" w:rightFromText="180" w:vertAnchor="text" w:horzAnchor="margin" w:tblpY="541"/>
        <w:tblW w:w="14312" w:type="dxa"/>
        <w:tblLook w:val="04A0" w:firstRow="1" w:lastRow="0" w:firstColumn="1" w:lastColumn="0" w:noHBand="0" w:noVBand="1"/>
      </w:tblPr>
      <w:tblGrid>
        <w:gridCol w:w="1555"/>
        <w:gridCol w:w="1701"/>
        <w:gridCol w:w="6095"/>
        <w:gridCol w:w="4961"/>
      </w:tblGrid>
      <w:tr w:rsidR="00EB4476" w14:paraId="1A7A0275" w14:textId="77777777" w:rsidTr="00201567">
        <w:tc>
          <w:tcPr>
            <w:tcW w:w="1555" w:type="dxa"/>
          </w:tcPr>
          <w:p w14:paraId="50E94915" w14:textId="77777777" w:rsidR="00EB4476" w:rsidRPr="00EB4476" w:rsidRDefault="00EB4476" w:rsidP="00377879">
            <w:pPr>
              <w:rPr>
                <w:b/>
                <w:bCs/>
              </w:rPr>
            </w:pPr>
            <w:r w:rsidRPr="00EB4476">
              <w:rPr>
                <w:b/>
                <w:bCs/>
              </w:rPr>
              <w:t>Existing Solution</w:t>
            </w:r>
          </w:p>
        </w:tc>
        <w:tc>
          <w:tcPr>
            <w:tcW w:w="1701" w:type="dxa"/>
          </w:tcPr>
          <w:p w14:paraId="20A59208" w14:textId="77777777" w:rsidR="00EB4476" w:rsidRPr="00EB4476" w:rsidRDefault="00EB4476" w:rsidP="00377879">
            <w:pPr>
              <w:rPr>
                <w:b/>
                <w:bCs/>
              </w:rPr>
            </w:pPr>
            <w:r w:rsidRPr="00EB4476">
              <w:rPr>
                <w:b/>
                <w:bCs/>
              </w:rPr>
              <w:t>Availability (open source, license, etc)</w:t>
            </w:r>
          </w:p>
        </w:tc>
        <w:tc>
          <w:tcPr>
            <w:tcW w:w="6095" w:type="dxa"/>
          </w:tcPr>
          <w:p w14:paraId="0AE009DC" w14:textId="3089EE7A" w:rsidR="00EB4476" w:rsidRPr="00EB4476" w:rsidRDefault="00EB4476" w:rsidP="00377879">
            <w:pPr>
              <w:rPr>
                <w:b/>
                <w:bCs/>
              </w:rPr>
            </w:pPr>
            <w:r w:rsidRPr="00EB4476">
              <w:rPr>
                <w:b/>
                <w:bCs/>
              </w:rPr>
              <w:t>Ethical regulations</w:t>
            </w:r>
            <w:r w:rsidR="00201567">
              <w:rPr>
                <w:b/>
                <w:bCs/>
              </w:rPr>
              <w:t>/compliance</w:t>
            </w:r>
          </w:p>
        </w:tc>
        <w:tc>
          <w:tcPr>
            <w:tcW w:w="4961" w:type="dxa"/>
          </w:tcPr>
          <w:p w14:paraId="4FE7054D" w14:textId="3F79CF12" w:rsidR="00EB4476" w:rsidRPr="00EB4476" w:rsidRDefault="00EB4476" w:rsidP="00377879">
            <w:pPr>
              <w:rPr>
                <w:b/>
                <w:bCs/>
              </w:rPr>
            </w:pPr>
            <w:r w:rsidRPr="00EB4476">
              <w:rPr>
                <w:b/>
                <w:bCs/>
              </w:rPr>
              <w:t>Notes</w:t>
            </w:r>
            <w:r w:rsidR="00201567">
              <w:rPr>
                <w:b/>
                <w:bCs/>
              </w:rPr>
              <w:t xml:space="preserve"> </w:t>
            </w:r>
          </w:p>
        </w:tc>
      </w:tr>
      <w:tr w:rsidR="00EB4476" w14:paraId="03D2763F" w14:textId="77777777" w:rsidTr="00201567">
        <w:tc>
          <w:tcPr>
            <w:tcW w:w="1555" w:type="dxa"/>
          </w:tcPr>
          <w:p w14:paraId="55BD062A" w14:textId="3827C192" w:rsidR="00EB4476" w:rsidRDefault="00EB4476" w:rsidP="00377879">
            <w:proofErr w:type="spellStart"/>
            <w:r>
              <w:t>REDCap</w:t>
            </w:r>
            <w:proofErr w:type="spellEnd"/>
            <w:r>
              <w:t xml:space="preserve"> (Research Electronic Data Capture)</w:t>
            </w:r>
          </w:p>
        </w:tc>
        <w:tc>
          <w:tcPr>
            <w:tcW w:w="1701" w:type="dxa"/>
          </w:tcPr>
          <w:p w14:paraId="4FA253EC" w14:textId="3D984E3F" w:rsidR="00EB4476" w:rsidRDefault="00201567" w:rsidP="00377879">
            <w:r>
              <w:t>Not open source, requires a license agreement</w:t>
            </w:r>
          </w:p>
        </w:tc>
        <w:tc>
          <w:tcPr>
            <w:tcW w:w="6095" w:type="dxa"/>
          </w:tcPr>
          <w:p w14:paraId="217A5655" w14:textId="6C4DB243" w:rsidR="00EB4476" w:rsidRPr="00D954A5" w:rsidRDefault="00EB4476" w:rsidP="00D954A5">
            <w:pPr>
              <w:rPr>
                <w:vertAlign w:val="superscript"/>
              </w:rPr>
            </w:pPr>
            <w:r>
              <w:t xml:space="preserve">“capable of compliance with just about any standard – for example, </w:t>
            </w:r>
            <w:r w:rsidRPr="00D954A5">
              <w:rPr>
                <w:highlight w:val="yellow"/>
              </w:rPr>
              <w:t>HIPAA</w:t>
            </w:r>
            <w:r>
              <w:t xml:space="preserve">, </w:t>
            </w:r>
            <w:r w:rsidRPr="00D954A5">
              <w:rPr>
                <w:highlight w:val="yellow"/>
              </w:rPr>
              <w:t>Part-11</w:t>
            </w:r>
            <w:r>
              <w:t xml:space="preserve">, and </w:t>
            </w:r>
            <w:r w:rsidRPr="00D954A5">
              <w:rPr>
                <w:highlight w:val="yellow"/>
              </w:rPr>
              <w:t xml:space="preserve">FISMA </w:t>
            </w:r>
            <w:r>
              <w:t xml:space="preserve">standards… as week as other standards (including similar international regulations like </w:t>
            </w:r>
            <w:proofErr w:type="gramStart"/>
            <w:r w:rsidRPr="00D954A5">
              <w:rPr>
                <w:highlight w:val="yellow"/>
              </w:rPr>
              <w:t>GDPR</w:t>
            </w:r>
            <w:r>
              <w:t>)</w:t>
            </w:r>
            <w:r w:rsidR="00201567" w:rsidRPr="00D954A5">
              <w:rPr>
                <w:vertAlign w:val="superscript"/>
              </w:rPr>
              <w:t>[</w:t>
            </w:r>
            <w:proofErr w:type="gramEnd"/>
            <w:r w:rsidR="00201567" w:rsidRPr="00D954A5">
              <w:rPr>
                <w:vertAlign w:val="superscript"/>
              </w:rPr>
              <w:t>1]</w:t>
            </w:r>
          </w:p>
        </w:tc>
        <w:tc>
          <w:tcPr>
            <w:tcW w:w="4961" w:type="dxa"/>
          </w:tcPr>
          <w:p w14:paraId="6D4ECD4C" w14:textId="2A1E463B" w:rsidR="00EB4476" w:rsidRPr="00201567" w:rsidRDefault="00201567" w:rsidP="00377879">
            <w:r>
              <w:t xml:space="preserve">Browser-based, metadata-driven EDC software and workflow methodology for designing clinical and translational research </w:t>
            </w:r>
            <w:proofErr w:type="gramStart"/>
            <w:r>
              <w:t>databases</w:t>
            </w:r>
            <w:r>
              <w:rPr>
                <w:vertAlign w:val="superscript"/>
              </w:rPr>
              <w:t>[</w:t>
            </w:r>
            <w:proofErr w:type="gramEnd"/>
            <w:r>
              <w:rPr>
                <w:vertAlign w:val="superscript"/>
              </w:rPr>
              <w:t>2]</w:t>
            </w:r>
            <w:r>
              <w:t xml:space="preserve">. Organisations can extensively customise their </w:t>
            </w:r>
            <w:proofErr w:type="spellStart"/>
            <w:r>
              <w:t>REDCap</w:t>
            </w:r>
            <w:proofErr w:type="spellEnd"/>
            <w:r>
              <w:t xml:space="preserve"> system with built-in software development tools; open architecture.</w:t>
            </w:r>
          </w:p>
        </w:tc>
      </w:tr>
      <w:tr w:rsidR="00EB4476" w14:paraId="1C0B3B99" w14:textId="77777777" w:rsidTr="00201567">
        <w:tc>
          <w:tcPr>
            <w:tcW w:w="1555" w:type="dxa"/>
          </w:tcPr>
          <w:p w14:paraId="3C0EFEFE" w14:textId="0482DD7C" w:rsidR="00EB4476" w:rsidRDefault="00201567" w:rsidP="00377879">
            <w:r>
              <w:t>Castor EDC</w:t>
            </w:r>
          </w:p>
        </w:tc>
        <w:tc>
          <w:tcPr>
            <w:tcW w:w="1701" w:type="dxa"/>
          </w:tcPr>
          <w:p w14:paraId="26593846" w14:textId="54C75DFD" w:rsidR="00EB4476" w:rsidRDefault="008D1AD1" w:rsidP="00377879">
            <w:r>
              <w:t>Has a free trial, main program requires a license</w:t>
            </w:r>
          </w:p>
        </w:tc>
        <w:tc>
          <w:tcPr>
            <w:tcW w:w="6095" w:type="dxa"/>
          </w:tcPr>
          <w:p w14:paraId="76D4134A" w14:textId="77777777" w:rsidR="00EB4476" w:rsidRDefault="00201567" w:rsidP="00201567">
            <w:r>
              <w:t>Compliant with ISO standards, has certificates:</w:t>
            </w:r>
          </w:p>
          <w:p w14:paraId="189DB16D" w14:textId="77777777" w:rsidR="00201567" w:rsidRDefault="00201567" w:rsidP="00201567">
            <w:pPr>
              <w:pStyle w:val="ListParagraph"/>
              <w:numPr>
                <w:ilvl w:val="0"/>
                <w:numId w:val="4"/>
              </w:numPr>
            </w:pPr>
            <w:r>
              <w:t>ISO 27001</w:t>
            </w:r>
          </w:p>
          <w:p w14:paraId="4B4A318C" w14:textId="77777777" w:rsidR="00201567" w:rsidRDefault="00201567" w:rsidP="00201567">
            <w:pPr>
              <w:pStyle w:val="ListParagraph"/>
              <w:numPr>
                <w:ilvl w:val="0"/>
                <w:numId w:val="4"/>
              </w:numPr>
            </w:pPr>
            <w:r>
              <w:t>NEN 7510</w:t>
            </w:r>
          </w:p>
          <w:p w14:paraId="1E1B932F" w14:textId="77777777" w:rsidR="00201567" w:rsidRDefault="00201567" w:rsidP="00201567">
            <w:pPr>
              <w:pStyle w:val="ListParagraph"/>
              <w:numPr>
                <w:ilvl w:val="0"/>
                <w:numId w:val="4"/>
              </w:numPr>
            </w:pPr>
            <w:r>
              <w:t>ISO 9001</w:t>
            </w:r>
          </w:p>
          <w:p w14:paraId="47D09019" w14:textId="5219CA8A" w:rsidR="008D1AD1" w:rsidRDefault="008D1AD1" w:rsidP="008D1AD1">
            <w:proofErr w:type="gramStart"/>
            <w:r>
              <w:t>Also</w:t>
            </w:r>
            <w:proofErr w:type="gramEnd"/>
            <w:r>
              <w:t xml:space="preserve"> FDA 21 CFR Part-11 compliant</w:t>
            </w:r>
            <w:r w:rsidR="00570A25">
              <w:t>.</w:t>
            </w:r>
          </w:p>
        </w:tc>
        <w:tc>
          <w:tcPr>
            <w:tcW w:w="4961" w:type="dxa"/>
          </w:tcPr>
          <w:p w14:paraId="2734F18A" w14:textId="6230F58D" w:rsidR="00EB4476" w:rsidRPr="00201567" w:rsidRDefault="00201567" w:rsidP="00377879">
            <w:r>
              <w:t xml:space="preserve">Cloud-based clinical data management platform, enabling researchers to easily capture and integrate data from clinicians, patients, devices, wearables, and HER (electronic health record) </w:t>
            </w:r>
            <w:proofErr w:type="gramStart"/>
            <w:r>
              <w:t>systems</w:t>
            </w:r>
            <w:r>
              <w:rPr>
                <w:vertAlign w:val="superscript"/>
              </w:rPr>
              <w:t>[</w:t>
            </w:r>
            <w:proofErr w:type="gramEnd"/>
            <w:r>
              <w:rPr>
                <w:vertAlign w:val="superscript"/>
              </w:rPr>
              <w:t>3]</w:t>
            </w:r>
            <w:r>
              <w:t>.</w:t>
            </w:r>
          </w:p>
        </w:tc>
      </w:tr>
      <w:tr w:rsidR="00EB4476" w14:paraId="41383C01" w14:textId="77777777" w:rsidTr="00201567">
        <w:tc>
          <w:tcPr>
            <w:tcW w:w="1555" w:type="dxa"/>
          </w:tcPr>
          <w:p w14:paraId="75FA2F86" w14:textId="77777777" w:rsidR="00EB4476" w:rsidRDefault="00EB4476" w:rsidP="00377879"/>
        </w:tc>
        <w:tc>
          <w:tcPr>
            <w:tcW w:w="1701" w:type="dxa"/>
          </w:tcPr>
          <w:p w14:paraId="19FE2ACF" w14:textId="77777777" w:rsidR="00EB4476" w:rsidRDefault="00EB4476" w:rsidP="00377879"/>
        </w:tc>
        <w:tc>
          <w:tcPr>
            <w:tcW w:w="6095" w:type="dxa"/>
          </w:tcPr>
          <w:p w14:paraId="46BCF5E1" w14:textId="77777777" w:rsidR="00EB4476" w:rsidRDefault="00EB4476" w:rsidP="00377879"/>
        </w:tc>
        <w:tc>
          <w:tcPr>
            <w:tcW w:w="4961" w:type="dxa"/>
          </w:tcPr>
          <w:p w14:paraId="5A3198CC" w14:textId="77777777" w:rsidR="00EB4476" w:rsidRDefault="00EB4476" w:rsidP="00377879"/>
        </w:tc>
      </w:tr>
      <w:tr w:rsidR="00EB4476" w14:paraId="427754B9" w14:textId="77777777" w:rsidTr="00201567">
        <w:tc>
          <w:tcPr>
            <w:tcW w:w="1555" w:type="dxa"/>
          </w:tcPr>
          <w:p w14:paraId="2562B953" w14:textId="77777777" w:rsidR="00EB4476" w:rsidRDefault="00EB4476" w:rsidP="00377879"/>
        </w:tc>
        <w:tc>
          <w:tcPr>
            <w:tcW w:w="1701" w:type="dxa"/>
          </w:tcPr>
          <w:p w14:paraId="576C5927" w14:textId="77777777" w:rsidR="00EB4476" w:rsidRDefault="00EB4476" w:rsidP="00377879"/>
        </w:tc>
        <w:tc>
          <w:tcPr>
            <w:tcW w:w="6095" w:type="dxa"/>
          </w:tcPr>
          <w:p w14:paraId="72A50941" w14:textId="77777777" w:rsidR="00EB4476" w:rsidRDefault="00EB4476" w:rsidP="00377879"/>
        </w:tc>
        <w:tc>
          <w:tcPr>
            <w:tcW w:w="4961" w:type="dxa"/>
          </w:tcPr>
          <w:p w14:paraId="4060E585" w14:textId="77777777" w:rsidR="00EB4476" w:rsidRDefault="00EB4476" w:rsidP="00377879"/>
        </w:tc>
      </w:tr>
    </w:tbl>
    <w:p w14:paraId="3114DBB1" w14:textId="5CF9EE69" w:rsidR="00377879" w:rsidRDefault="00377879" w:rsidP="00377879"/>
    <w:p w14:paraId="7B3C1964" w14:textId="4BA71D12" w:rsidR="00CC3C27" w:rsidRDefault="00CC3C27" w:rsidP="00377879"/>
    <w:p w14:paraId="65130C3C" w14:textId="4A577562" w:rsidR="00CC3C27" w:rsidRDefault="00CC3C27" w:rsidP="00377879"/>
    <w:p w14:paraId="183F0187" w14:textId="12C7D6D4" w:rsidR="00EB4476" w:rsidRDefault="00EB4476" w:rsidP="00377879"/>
    <w:p w14:paraId="17892E2D" w14:textId="04BD3FCE" w:rsidR="00201567" w:rsidRDefault="00201567" w:rsidP="00377879"/>
    <w:p w14:paraId="6B4571F0" w14:textId="77777777" w:rsidR="00201567" w:rsidRDefault="00201567" w:rsidP="00377879"/>
    <w:p w14:paraId="269CF39C" w14:textId="15DB816D" w:rsidR="00EB4476" w:rsidRDefault="00201567" w:rsidP="00377879">
      <w:r>
        <w:lastRenderedPageBreak/>
        <w:t>References:</w:t>
      </w:r>
    </w:p>
    <w:p w14:paraId="2100E4BA" w14:textId="46AEC06F" w:rsidR="00201567" w:rsidRDefault="00201567" w:rsidP="00201567">
      <w:pPr>
        <w:pStyle w:val="ListParagraph"/>
        <w:numPr>
          <w:ilvl w:val="0"/>
          <w:numId w:val="3"/>
        </w:numPr>
      </w:pPr>
      <w:hyperlink r:id="rId7" w:history="1">
        <w:r w:rsidRPr="00786F05">
          <w:rPr>
            <w:rStyle w:val="Hyperlink"/>
          </w:rPr>
          <w:t>https://projectredcap.org/about/faq/</w:t>
        </w:r>
      </w:hyperlink>
      <w:r>
        <w:t xml:space="preserve"> </w:t>
      </w:r>
    </w:p>
    <w:p w14:paraId="39192D41" w14:textId="600D6E5F" w:rsidR="00201567" w:rsidRDefault="00201567" w:rsidP="00201567">
      <w:pPr>
        <w:pStyle w:val="ListParagraph"/>
        <w:numPr>
          <w:ilvl w:val="0"/>
          <w:numId w:val="3"/>
        </w:numPr>
      </w:pPr>
      <w:hyperlink r:id="rId8" w:history="1">
        <w:r w:rsidRPr="00786F05">
          <w:rPr>
            <w:rStyle w:val="Hyperlink"/>
          </w:rPr>
          <w:t>https://en.wikipedia.org/wiki/REDCap</w:t>
        </w:r>
      </w:hyperlink>
    </w:p>
    <w:p w14:paraId="06998448" w14:textId="0103A9FB" w:rsidR="00201567" w:rsidRDefault="00570A25" w:rsidP="00201567">
      <w:pPr>
        <w:pStyle w:val="ListParagraph"/>
        <w:numPr>
          <w:ilvl w:val="0"/>
          <w:numId w:val="3"/>
        </w:numPr>
      </w:pPr>
      <w:hyperlink r:id="rId9" w:history="1">
        <w:r w:rsidRPr="00786F05">
          <w:rPr>
            <w:rStyle w:val="Hyperlink"/>
          </w:rPr>
          <w:t>https://www.castoredc.com/</w:t>
        </w:r>
      </w:hyperlink>
      <w:r>
        <w:t xml:space="preserve"> </w:t>
      </w:r>
    </w:p>
    <w:p w14:paraId="17A3E195" w14:textId="542C574F" w:rsidR="00201567" w:rsidRDefault="00201567" w:rsidP="00201567"/>
    <w:p w14:paraId="441E5B93" w14:textId="5BABE321" w:rsidR="00201567" w:rsidRDefault="00201567" w:rsidP="00201567"/>
    <w:p w14:paraId="6C3542D3" w14:textId="525190B0" w:rsidR="00201567" w:rsidRDefault="00201567" w:rsidP="00201567"/>
    <w:p w14:paraId="1E28897B" w14:textId="4BC2D838" w:rsidR="00201567" w:rsidRPr="00201567" w:rsidRDefault="00201567" w:rsidP="00201567">
      <w:pPr>
        <w:rPr>
          <w:b/>
          <w:bCs/>
          <w:sz w:val="28"/>
          <w:szCs w:val="28"/>
        </w:rPr>
      </w:pPr>
      <w:r>
        <w:rPr>
          <w:b/>
          <w:bCs/>
          <w:sz w:val="28"/>
          <w:szCs w:val="28"/>
        </w:rPr>
        <w:t>Compliance Standards</w:t>
      </w:r>
    </w:p>
    <w:p w14:paraId="2A4181F7" w14:textId="672154F3" w:rsidR="008D1AD1" w:rsidRDefault="008D1AD1" w:rsidP="008D1AD1">
      <w:pPr>
        <w:pStyle w:val="Heading1"/>
        <w:rPr>
          <w:rFonts w:asciiTheme="minorHAnsi" w:hAnsiTheme="minorHAnsi" w:cstheme="minorHAnsi"/>
          <w:b w:val="0"/>
          <w:bCs w:val="0"/>
          <w:sz w:val="22"/>
          <w:szCs w:val="22"/>
        </w:rPr>
      </w:pPr>
      <w:r>
        <w:rPr>
          <w:rFonts w:asciiTheme="minorHAnsi" w:hAnsiTheme="minorHAnsi" w:cstheme="minorHAnsi"/>
          <w:sz w:val="22"/>
          <w:szCs w:val="22"/>
        </w:rPr>
        <w:t>The Privacy Act 1988</w:t>
      </w:r>
    </w:p>
    <w:p w14:paraId="04C4E664" w14:textId="568FCFBE" w:rsidR="008D1AD1" w:rsidRPr="008D1AD1" w:rsidRDefault="008D1AD1" w:rsidP="008D1AD1">
      <w:pPr>
        <w:pStyle w:val="Heading1"/>
        <w:rPr>
          <w:rFonts w:asciiTheme="minorHAnsi" w:hAnsiTheme="minorHAnsi" w:cstheme="minorHAnsi"/>
          <w:b w:val="0"/>
          <w:bCs w:val="0"/>
          <w:sz w:val="22"/>
          <w:szCs w:val="22"/>
        </w:rPr>
      </w:pPr>
      <w:r w:rsidRPr="008D1AD1">
        <w:rPr>
          <w:rFonts w:asciiTheme="minorHAnsi" w:hAnsiTheme="minorHAnsi" w:cstheme="minorHAnsi"/>
          <w:b w:val="0"/>
          <w:bCs w:val="0"/>
          <w:sz w:val="22"/>
          <w:szCs w:val="22"/>
        </w:rPr>
        <w:t xml:space="preserve">The Privacy Act 1988 is an </w:t>
      </w:r>
      <w:r>
        <w:rPr>
          <w:rFonts w:asciiTheme="minorHAnsi" w:hAnsiTheme="minorHAnsi" w:cstheme="minorHAnsi"/>
          <w:b w:val="0"/>
          <w:bCs w:val="0"/>
          <w:sz w:val="22"/>
          <w:szCs w:val="22"/>
        </w:rPr>
        <w:t xml:space="preserve">Australian law </w:t>
      </w:r>
      <w:r w:rsidRPr="008D1AD1">
        <w:rPr>
          <w:rFonts w:asciiTheme="minorHAnsi" w:hAnsiTheme="minorHAnsi" w:cstheme="minorHAnsi"/>
          <w:b w:val="0"/>
          <w:bCs w:val="0"/>
          <w:sz w:val="22"/>
          <w:szCs w:val="22"/>
        </w:rPr>
        <w:t xml:space="preserve">dealing with privacy. </w:t>
      </w:r>
      <w:r w:rsidR="00570A25">
        <w:rPr>
          <w:rFonts w:asciiTheme="minorHAnsi" w:hAnsiTheme="minorHAnsi" w:cstheme="minorHAnsi"/>
          <w:b w:val="0"/>
          <w:bCs w:val="0"/>
          <w:sz w:val="22"/>
          <w:szCs w:val="22"/>
        </w:rPr>
        <w:t>It was introduced to promote and protect the privacy of individuals and to regulate how Australian Government agencies and organisations with an annual turnover of more than $3 million, and others, handle personal information.</w:t>
      </w:r>
    </w:p>
    <w:p w14:paraId="347B45D9" w14:textId="7F6D96DC" w:rsidR="008D1AD1" w:rsidRDefault="008D1AD1" w:rsidP="008D1AD1">
      <w:pPr>
        <w:pStyle w:val="Heading1"/>
        <w:rPr>
          <w:rFonts w:asciiTheme="minorHAnsi" w:hAnsiTheme="minorHAnsi" w:cstheme="minorHAnsi"/>
          <w:sz w:val="22"/>
          <w:szCs w:val="22"/>
        </w:rPr>
      </w:pPr>
      <w:r w:rsidRPr="008D1AD1">
        <w:rPr>
          <w:rFonts w:asciiTheme="minorHAnsi" w:hAnsiTheme="minorHAnsi" w:cstheme="minorHAnsi"/>
          <w:sz w:val="22"/>
          <w:szCs w:val="22"/>
        </w:rPr>
        <w:t>HIPAA</w:t>
      </w:r>
      <w:r>
        <w:rPr>
          <w:rFonts w:asciiTheme="minorHAnsi" w:hAnsiTheme="minorHAnsi" w:cstheme="minorHAnsi"/>
          <w:b w:val="0"/>
          <w:bCs w:val="0"/>
          <w:sz w:val="22"/>
          <w:szCs w:val="22"/>
        </w:rPr>
        <w:t xml:space="preserve"> </w:t>
      </w:r>
      <w:r w:rsidRPr="008D1AD1">
        <w:rPr>
          <w:rFonts w:asciiTheme="minorHAnsi" w:hAnsiTheme="minorHAnsi" w:cstheme="minorHAnsi"/>
          <w:b w:val="0"/>
          <w:bCs w:val="0"/>
          <w:sz w:val="22"/>
          <w:szCs w:val="22"/>
        </w:rPr>
        <w:t>(</w:t>
      </w:r>
      <w:r w:rsidRPr="008D1AD1">
        <w:rPr>
          <w:rFonts w:asciiTheme="minorHAnsi" w:hAnsiTheme="minorHAnsi" w:cstheme="minorHAnsi"/>
          <w:sz w:val="22"/>
          <w:szCs w:val="22"/>
        </w:rPr>
        <w:t>Health Insurance Portability and Accountability Act</w:t>
      </w:r>
      <w:r>
        <w:rPr>
          <w:rFonts w:asciiTheme="minorHAnsi" w:hAnsiTheme="minorHAnsi" w:cstheme="minorHAnsi"/>
          <w:sz w:val="22"/>
          <w:szCs w:val="22"/>
        </w:rPr>
        <w:t>)</w:t>
      </w:r>
    </w:p>
    <w:p w14:paraId="7AE9DB9D" w14:textId="78FE7439" w:rsidR="008D1AD1" w:rsidRDefault="008D1AD1" w:rsidP="008D1AD1">
      <w:pPr>
        <w:pStyle w:val="Heading1"/>
        <w:rPr>
          <w:rFonts w:asciiTheme="minorHAnsi" w:hAnsiTheme="minorHAnsi" w:cstheme="minorHAnsi"/>
          <w:b w:val="0"/>
          <w:bCs w:val="0"/>
          <w:sz w:val="22"/>
          <w:szCs w:val="22"/>
        </w:rPr>
      </w:pPr>
      <w:r w:rsidRPr="008D1AD1">
        <w:rPr>
          <w:rFonts w:asciiTheme="minorHAnsi" w:hAnsiTheme="minorHAnsi" w:cstheme="minorHAnsi"/>
          <w:b w:val="0"/>
          <w:bCs w:val="0"/>
          <w:sz w:val="22"/>
          <w:szCs w:val="22"/>
        </w:rPr>
        <w:t xml:space="preserve">The Health Insurance Portability and Accountability Act of 1996 is a United States federal statute. It was created primarily to modernize the flow of healthcare information, stipulate how </w:t>
      </w:r>
      <w:r>
        <w:rPr>
          <w:rFonts w:asciiTheme="minorHAnsi" w:hAnsiTheme="minorHAnsi" w:cstheme="minorHAnsi"/>
          <w:b w:val="0"/>
          <w:bCs w:val="0"/>
          <w:sz w:val="22"/>
          <w:szCs w:val="22"/>
        </w:rPr>
        <w:t xml:space="preserve">personally identifiable information </w:t>
      </w:r>
      <w:r w:rsidRPr="008D1AD1">
        <w:rPr>
          <w:rFonts w:asciiTheme="minorHAnsi" w:hAnsiTheme="minorHAnsi" w:cstheme="minorHAnsi"/>
          <w:b w:val="0"/>
          <w:bCs w:val="0"/>
          <w:sz w:val="22"/>
          <w:szCs w:val="22"/>
        </w:rPr>
        <w:t>maintained by the healthcare and healthcare insurance industries should be protected from fraud and theft, and address limitations on healthcare insurance coverage.</w:t>
      </w:r>
    </w:p>
    <w:p w14:paraId="54BD9EB9" w14:textId="0799258E" w:rsidR="008D1AD1" w:rsidRDefault="008D1AD1" w:rsidP="008D1AD1">
      <w:pPr>
        <w:pStyle w:val="Heading1"/>
        <w:rPr>
          <w:rFonts w:asciiTheme="minorHAnsi" w:hAnsiTheme="minorHAnsi" w:cstheme="minorHAnsi"/>
          <w:sz w:val="22"/>
          <w:szCs w:val="22"/>
        </w:rPr>
      </w:pPr>
      <w:r>
        <w:rPr>
          <w:rFonts w:asciiTheme="minorHAnsi" w:hAnsiTheme="minorHAnsi" w:cstheme="minorHAnsi"/>
          <w:sz w:val="22"/>
          <w:szCs w:val="22"/>
        </w:rPr>
        <w:t>Part-11</w:t>
      </w:r>
    </w:p>
    <w:p w14:paraId="210FCCF7" w14:textId="77777777" w:rsidR="008D1AD1" w:rsidRPr="008D1AD1" w:rsidRDefault="008D1AD1" w:rsidP="008D1AD1">
      <w:pPr>
        <w:pStyle w:val="NormalWeb"/>
        <w:numPr>
          <w:ilvl w:val="0"/>
          <w:numId w:val="5"/>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those companies who use electronic systems for document and signature control must provide assurance that the electronic documents are authentic. The regulations all stipulate the necessity of the confidentiality of electronic records.</w:t>
      </w:r>
    </w:p>
    <w:p w14:paraId="570A2004" w14:textId="77777777" w:rsidR="008D1AD1" w:rsidRPr="008D1AD1" w:rsidRDefault="008D1AD1" w:rsidP="008D1AD1">
      <w:pPr>
        <w:pStyle w:val="NormalWeb"/>
        <w:numPr>
          <w:ilvl w:val="0"/>
          <w:numId w:val="5"/>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all system users have the training necessary to perform their assigned tasks and projects.</w:t>
      </w:r>
    </w:p>
    <w:p w14:paraId="7C34326B" w14:textId="77777777" w:rsidR="008D1AD1" w:rsidRPr="008D1AD1" w:rsidRDefault="008D1AD1" w:rsidP="008D1AD1">
      <w:pPr>
        <w:pStyle w:val="NormalWeb"/>
        <w:numPr>
          <w:ilvl w:val="0"/>
          <w:numId w:val="5"/>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electronic records that are signed must contain a name, the signature meaning and the date/time of signing.</w:t>
      </w:r>
    </w:p>
    <w:p w14:paraId="6FC301D1" w14:textId="77777777" w:rsidR="008D1AD1" w:rsidRPr="008D1AD1" w:rsidRDefault="008D1AD1" w:rsidP="008D1AD1">
      <w:pPr>
        <w:pStyle w:val="NormalWeb"/>
        <w:numPr>
          <w:ilvl w:val="0"/>
          <w:numId w:val="5"/>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signatures whether electronic or handwritten be linked to their respective records.</w:t>
      </w:r>
    </w:p>
    <w:p w14:paraId="54310CBB" w14:textId="7C06BBA1" w:rsidR="00201567" w:rsidRPr="008D1AD1" w:rsidRDefault="008D1AD1" w:rsidP="008D1AD1">
      <w:pPr>
        <w:pStyle w:val="NormalWeb"/>
        <w:numPr>
          <w:ilvl w:val="0"/>
          <w:numId w:val="5"/>
        </w:numPr>
        <w:rPr>
          <w:rFonts w:asciiTheme="minorHAnsi" w:hAnsiTheme="minorHAnsi" w:cstheme="minorHAnsi"/>
          <w:sz w:val="22"/>
          <w:szCs w:val="22"/>
        </w:rPr>
      </w:pPr>
      <w:r w:rsidRPr="008D1AD1">
        <w:rPr>
          <w:rFonts w:asciiTheme="minorHAnsi" w:hAnsiTheme="minorHAnsi" w:cstheme="minorHAnsi"/>
          <w:sz w:val="22"/>
          <w:szCs w:val="22"/>
        </w:rPr>
        <w:t>21 CFR compliance dictates that an FDA-regulated company's electronic system must be validated according to the FDA's validation standards.</w:t>
      </w:r>
    </w:p>
    <w:p w14:paraId="4F39A411" w14:textId="77777777" w:rsidR="00201567" w:rsidRDefault="00201567" w:rsidP="00201567">
      <w:pPr>
        <w:rPr>
          <w:b/>
          <w:bCs/>
        </w:rPr>
      </w:pPr>
    </w:p>
    <w:p w14:paraId="115E08A7" w14:textId="78C240B7" w:rsidR="00201567" w:rsidRPr="00201567" w:rsidRDefault="00201567" w:rsidP="00201567">
      <w:pPr>
        <w:rPr>
          <w:b/>
          <w:bCs/>
        </w:rPr>
      </w:pPr>
      <w:r w:rsidRPr="00201567">
        <w:rPr>
          <w:b/>
          <w:bCs/>
        </w:rPr>
        <w:t>ISO 27001:</w:t>
      </w:r>
    </w:p>
    <w:p w14:paraId="7393CDF7" w14:textId="7DE2231F" w:rsidR="00201567" w:rsidRDefault="00201567" w:rsidP="00201567">
      <w:r>
        <w:t>ISO 27001 is a standard that requires an organization to set up an information security management system (ISMS) that will safeguard the availability, integrity and confidentiality of the data that is handled by the organization. Castor has been ISO 27001 certified since 2017.</w:t>
      </w:r>
    </w:p>
    <w:p w14:paraId="676A4529" w14:textId="3EF56768" w:rsidR="00201567" w:rsidRPr="00201567" w:rsidRDefault="00201567" w:rsidP="00201567">
      <w:pPr>
        <w:rPr>
          <w:b/>
          <w:bCs/>
        </w:rPr>
      </w:pPr>
      <w:r w:rsidRPr="00201567">
        <w:rPr>
          <w:b/>
          <w:bCs/>
        </w:rPr>
        <w:t>NEN 7510:</w:t>
      </w:r>
    </w:p>
    <w:p w14:paraId="678CDDEA" w14:textId="3232DB35" w:rsidR="00201567" w:rsidRDefault="00201567" w:rsidP="00201567">
      <w:r>
        <w:t>NEN 7510 is a standard for information security in healthcare. It is the Dutch equivalent for ISO 27001 with additional requirements on how to handle patient data. Castor has been NEN 7510 certified since 2017.</w:t>
      </w:r>
    </w:p>
    <w:p w14:paraId="46C57195" w14:textId="77777777" w:rsidR="00201567" w:rsidRPr="00201567" w:rsidRDefault="00201567" w:rsidP="00201567">
      <w:pPr>
        <w:rPr>
          <w:b/>
          <w:bCs/>
        </w:rPr>
      </w:pPr>
      <w:r w:rsidRPr="00201567">
        <w:rPr>
          <w:b/>
          <w:bCs/>
        </w:rPr>
        <w:t>ISO 9001:</w:t>
      </w:r>
    </w:p>
    <w:p w14:paraId="64F85A35" w14:textId="767D7A30" w:rsidR="00201567" w:rsidRPr="00201567" w:rsidRDefault="00201567" w:rsidP="00201567">
      <w:pPr>
        <w:rPr>
          <w:rFonts w:cstheme="minorHAnsi"/>
        </w:rPr>
      </w:pPr>
      <w:r w:rsidRPr="00201567">
        <w:rPr>
          <w:rFonts w:cstheme="minorHAnsi"/>
        </w:rPr>
        <w:t>ISO 9001 is a standard that requires an organization to set up a quality management system (QMS) to consistently provide products and services that meet customer and regulatory requirements. Castor has been ISO 9001 certified since 2018. </w:t>
      </w:r>
    </w:p>
    <w:p w14:paraId="41B60246" w14:textId="77777777" w:rsidR="00201567" w:rsidRPr="00201567" w:rsidRDefault="00201567" w:rsidP="00201567"/>
    <w:p w14:paraId="52DB2F0A" w14:textId="3DA881C0" w:rsidR="00EB4476" w:rsidRDefault="00EB4476" w:rsidP="00377879"/>
    <w:p w14:paraId="04868AE7" w14:textId="7D08D06C" w:rsidR="00EB4476" w:rsidRDefault="00EB4476" w:rsidP="00377879">
      <w:r>
        <w:t xml:space="preserve">List of </w:t>
      </w:r>
      <w:proofErr w:type="spellStart"/>
      <w:r>
        <w:t>REDCap</w:t>
      </w:r>
      <w:proofErr w:type="spellEnd"/>
      <w:r>
        <w:t xml:space="preserve"> Alternatives and Competitors:</w:t>
      </w:r>
    </w:p>
    <w:p w14:paraId="5630A95A" w14:textId="10B00201" w:rsidR="00EB4476" w:rsidRDefault="00EB4476" w:rsidP="00377879">
      <w:hyperlink r:id="rId10" w:history="1">
        <w:r w:rsidRPr="00786F05">
          <w:rPr>
            <w:rStyle w:val="Hyperlink"/>
          </w:rPr>
          <w:t>https://www.g2.com/products/redcap/competitors/alternatives</w:t>
        </w:r>
      </w:hyperlink>
      <w:r>
        <w:t xml:space="preserve"> </w:t>
      </w:r>
    </w:p>
    <w:p w14:paraId="5B99DB8C" w14:textId="38887947" w:rsidR="00EB4476" w:rsidRDefault="00EB4476" w:rsidP="00377879"/>
    <w:p w14:paraId="66A17674" w14:textId="5B4A1BED" w:rsidR="00EB4476" w:rsidRDefault="00EB4476" w:rsidP="00377879"/>
    <w:p w14:paraId="451E407E" w14:textId="77777777" w:rsidR="00EB4476" w:rsidRDefault="00EB4476" w:rsidP="00377879"/>
    <w:p w14:paraId="13697C60" w14:textId="1BBD69E9" w:rsidR="00CC3C27" w:rsidRDefault="009F3FEC" w:rsidP="00377879">
      <w:hyperlink r:id="rId11" w:history="1">
        <w:r w:rsidR="00CC3C27" w:rsidRPr="004C48E4">
          <w:rPr>
            <w:rStyle w:val="Hyperlink"/>
          </w:rPr>
          <w:t>https://multisearch.mq.edu.au/discovery/fulldisplay?docid=cdi_springer_primary_2018_10916_42_8_995&amp;context=PC&amp;vid=61MACQUARIE_INST:MQ&amp;lang=en&amp;search_scope=MyInst_and_CI&amp;adaptor=Primo%20Central&amp;tab=Everything&amp;query=any,contains,sharing%20data%20safely%20while%20preserving%20privacy</w:t>
        </w:r>
      </w:hyperlink>
    </w:p>
    <w:p w14:paraId="2A888B18" w14:textId="6612A220" w:rsidR="00CC3C27" w:rsidRDefault="009F3FEC" w:rsidP="00377879">
      <w:hyperlink r:id="rId12" w:history="1">
        <w:r w:rsidR="00CC3C27" w:rsidRPr="004C48E4">
          <w:rPr>
            <w:rStyle w:val="Hyperlink"/>
          </w:rPr>
          <w:t>https://search-proquest-com.simsrad.net.ocs.mq.edu.au/docview/2061282109?pq-origsite=primo</w:t>
        </w:r>
      </w:hyperlink>
    </w:p>
    <w:p w14:paraId="2EBA0D84" w14:textId="7488A3F8" w:rsidR="00CC3C27" w:rsidRDefault="009F3FEC" w:rsidP="00377879">
      <w:hyperlink r:id="rId13" w:history="1">
        <w:r w:rsidR="00CC3C27" w:rsidRPr="004C48E4">
          <w:rPr>
            <w:rStyle w:val="Hyperlink"/>
          </w:rPr>
          <w:t>https://www-sciencedirect-com.simsrad.net.ocs.mq.edu.au/science/article/pii/S0140673619326030</w:t>
        </w:r>
      </w:hyperlink>
    </w:p>
    <w:p w14:paraId="2FE8C368" w14:textId="2B26B355" w:rsidR="00CC3C27" w:rsidRDefault="009F3FEC" w:rsidP="00377879">
      <w:hyperlink r:id="rId14" w:history="1">
        <w:r w:rsidR="00CC3C27" w:rsidRPr="004C48E4">
          <w:rPr>
            <w:rStyle w:val="Hyperlink"/>
          </w:rPr>
          <w:t>https://gdpr-info.eu/</w:t>
        </w:r>
      </w:hyperlink>
    </w:p>
    <w:p w14:paraId="60EC54FE" w14:textId="52E96FDD" w:rsidR="00CC3C27" w:rsidRDefault="009F3FEC" w:rsidP="00377879">
      <w:hyperlink r:id="rId15" w:history="1">
        <w:r w:rsidR="00CC3C27" w:rsidRPr="004C48E4">
          <w:rPr>
            <w:rStyle w:val="Hyperlink"/>
          </w:rPr>
          <w:t>https://www.hhs.gov/hipaa/index.html</w:t>
        </w:r>
      </w:hyperlink>
    </w:p>
    <w:p w14:paraId="3F9CA965" w14:textId="3B67836F" w:rsidR="00CC3C27" w:rsidRDefault="009F3FEC" w:rsidP="00377879">
      <w:hyperlink r:id="rId16" w:history="1">
        <w:r w:rsidR="00CC3C27" w:rsidRPr="004C48E4">
          <w:rPr>
            <w:rStyle w:val="Hyperlink"/>
          </w:rPr>
          <w:t>https://www.health.nsw.gov.au/patients/privacy/Pages/default.aspx</w:t>
        </w:r>
      </w:hyperlink>
    </w:p>
    <w:p w14:paraId="243C5AFC" w14:textId="3389DB24" w:rsidR="00CC3C27" w:rsidRDefault="009F3FEC" w:rsidP="00377879">
      <w:hyperlink r:id="rId17" w:history="1">
        <w:r w:rsidR="00CC3C27" w:rsidRPr="004C48E4">
          <w:rPr>
            <w:rStyle w:val="Hyperlink"/>
          </w:rPr>
          <w:t>https://empowers.brother.com.au/2019/03/21/what-is-the-australian-equivalent-of-hipaa-why-does-it-matter/</w:t>
        </w:r>
      </w:hyperlink>
    </w:p>
    <w:p w14:paraId="060B24F6" w14:textId="77777777" w:rsidR="00CC3C27" w:rsidRDefault="00CC3C27" w:rsidP="00377879"/>
    <w:sectPr w:rsidR="00CC3C27" w:rsidSect="00EB447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ECF81" w14:textId="77777777" w:rsidR="009F3FEC" w:rsidRDefault="009F3FEC" w:rsidP="00032764">
      <w:pPr>
        <w:spacing w:after="0" w:line="240" w:lineRule="auto"/>
      </w:pPr>
      <w:r>
        <w:separator/>
      </w:r>
    </w:p>
  </w:endnote>
  <w:endnote w:type="continuationSeparator" w:id="0">
    <w:p w14:paraId="59C9E6E6" w14:textId="77777777" w:rsidR="009F3FEC" w:rsidRDefault="009F3FEC" w:rsidP="0003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01732" w14:textId="77777777" w:rsidR="009F3FEC" w:rsidRDefault="009F3FEC" w:rsidP="00032764">
      <w:pPr>
        <w:spacing w:after="0" w:line="240" w:lineRule="auto"/>
      </w:pPr>
      <w:r>
        <w:separator/>
      </w:r>
    </w:p>
  </w:footnote>
  <w:footnote w:type="continuationSeparator" w:id="0">
    <w:p w14:paraId="42A689D8" w14:textId="77777777" w:rsidR="009F3FEC" w:rsidRDefault="009F3FEC" w:rsidP="00032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73834"/>
    <w:multiLevelType w:val="hybridMultilevel"/>
    <w:tmpl w:val="A7C83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77247B"/>
    <w:multiLevelType w:val="hybridMultilevel"/>
    <w:tmpl w:val="81E81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DF2445"/>
    <w:multiLevelType w:val="hybridMultilevel"/>
    <w:tmpl w:val="02CEEE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422F99"/>
    <w:multiLevelType w:val="hybridMultilevel"/>
    <w:tmpl w:val="8B164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F9729F"/>
    <w:multiLevelType w:val="hybridMultilevel"/>
    <w:tmpl w:val="38349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64"/>
    <w:rsid w:val="00032764"/>
    <w:rsid w:val="000B1FB1"/>
    <w:rsid w:val="00201567"/>
    <w:rsid w:val="00377879"/>
    <w:rsid w:val="00570A25"/>
    <w:rsid w:val="006017DB"/>
    <w:rsid w:val="00645C59"/>
    <w:rsid w:val="008D1AD1"/>
    <w:rsid w:val="009307B2"/>
    <w:rsid w:val="009F3FEC"/>
    <w:rsid w:val="00A1383B"/>
    <w:rsid w:val="00CC3C27"/>
    <w:rsid w:val="00D954A5"/>
    <w:rsid w:val="00DC0426"/>
    <w:rsid w:val="00E70F8A"/>
    <w:rsid w:val="00EB44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D70A"/>
  <w15:chartTrackingRefBased/>
  <w15:docId w15:val="{D4CA78D6-21FE-4527-B903-CEA01E98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A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764"/>
  </w:style>
  <w:style w:type="paragraph" w:styleId="Footer">
    <w:name w:val="footer"/>
    <w:basedOn w:val="Normal"/>
    <w:link w:val="FooterChar"/>
    <w:uiPriority w:val="99"/>
    <w:unhideWhenUsed/>
    <w:rsid w:val="00032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764"/>
  </w:style>
  <w:style w:type="paragraph" w:styleId="ListParagraph">
    <w:name w:val="List Paragraph"/>
    <w:basedOn w:val="Normal"/>
    <w:uiPriority w:val="34"/>
    <w:qFormat/>
    <w:rsid w:val="00377879"/>
    <w:pPr>
      <w:ind w:left="720"/>
      <w:contextualSpacing/>
    </w:pPr>
  </w:style>
  <w:style w:type="character" w:styleId="Hyperlink">
    <w:name w:val="Hyperlink"/>
    <w:basedOn w:val="DefaultParagraphFont"/>
    <w:uiPriority w:val="99"/>
    <w:unhideWhenUsed/>
    <w:rsid w:val="00CC3C27"/>
    <w:rPr>
      <w:color w:val="0563C1" w:themeColor="hyperlink"/>
      <w:u w:val="single"/>
    </w:rPr>
  </w:style>
  <w:style w:type="character" w:styleId="UnresolvedMention">
    <w:name w:val="Unresolved Mention"/>
    <w:basedOn w:val="DefaultParagraphFont"/>
    <w:uiPriority w:val="99"/>
    <w:semiHidden/>
    <w:unhideWhenUsed/>
    <w:rsid w:val="00CC3C27"/>
    <w:rPr>
      <w:color w:val="605E5C"/>
      <w:shd w:val="clear" w:color="auto" w:fill="E1DFDD"/>
    </w:rPr>
  </w:style>
  <w:style w:type="paragraph" w:styleId="NormalWeb">
    <w:name w:val="Normal (Web)"/>
    <w:basedOn w:val="Normal"/>
    <w:uiPriority w:val="99"/>
    <w:unhideWhenUsed/>
    <w:rsid w:val="0020156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8D1AD1"/>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82905">
      <w:bodyDiv w:val="1"/>
      <w:marLeft w:val="0"/>
      <w:marRight w:val="0"/>
      <w:marTop w:val="0"/>
      <w:marBottom w:val="0"/>
      <w:divBdr>
        <w:top w:val="none" w:sz="0" w:space="0" w:color="auto"/>
        <w:left w:val="none" w:sz="0" w:space="0" w:color="auto"/>
        <w:bottom w:val="none" w:sz="0" w:space="0" w:color="auto"/>
        <w:right w:val="none" w:sz="0" w:space="0" w:color="auto"/>
      </w:divBdr>
    </w:div>
    <w:div w:id="1004355166">
      <w:bodyDiv w:val="1"/>
      <w:marLeft w:val="0"/>
      <w:marRight w:val="0"/>
      <w:marTop w:val="0"/>
      <w:marBottom w:val="0"/>
      <w:divBdr>
        <w:top w:val="none" w:sz="0" w:space="0" w:color="auto"/>
        <w:left w:val="none" w:sz="0" w:space="0" w:color="auto"/>
        <w:bottom w:val="none" w:sz="0" w:space="0" w:color="auto"/>
        <w:right w:val="none" w:sz="0" w:space="0" w:color="auto"/>
      </w:divBdr>
    </w:div>
    <w:div w:id="1084451137">
      <w:bodyDiv w:val="1"/>
      <w:marLeft w:val="0"/>
      <w:marRight w:val="0"/>
      <w:marTop w:val="0"/>
      <w:marBottom w:val="0"/>
      <w:divBdr>
        <w:top w:val="none" w:sz="0" w:space="0" w:color="auto"/>
        <w:left w:val="none" w:sz="0" w:space="0" w:color="auto"/>
        <w:bottom w:val="none" w:sz="0" w:space="0" w:color="auto"/>
        <w:right w:val="none" w:sz="0" w:space="0" w:color="auto"/>
      </w:divBdr>
    </w:div>
    <w:div w:id="1326934168">
      <w:bodyDiv w:val="1"/>
      <w:marLeft w:val="0"/>
      <w:marRight w:val="0"/>
      <w:marTop w:val="0"/>
      <w:marBottom w:val="0"/>
      <w:divBdr>
        <w:top w:val="none" w:sz="0" w:space="0" w:color="auto"/>
        <w:left w:val="none" w:sz="0" w:space="0" w:color="auto"/>
        <w:bottom w:val="none" w:sz="0" w:space="0" w:color="auto"/>
        <w:right w:val="none" w:sz="0" w:space="0" w:color="auto"/>
      </w:divBdr>
    </w:div>
    <w:div w:id="1451365201">
      <w:bodyDiv w:val="1"/>
      <w:marLeft w:val="0"/>
      <w:marRight w:val="0"/>
      <w:marTop w:val="0"/>
      <w:marBottom w:val="0"/>
      <w:divBdr>
        <w:top w:val="none" w:sz="0" w:space="0" w:color="auto"/>
        <w:left w:val="none" w:sz="0" w:space="0" w:color="auto"/>
        <w:bottom w:val="none" w:sz="0" w:space="0" w:color="auto"/>
        <w:right w:val="none" w:sz="0" w:space="0" w:color="auto"/>
      </w:divBdr>
    </w:div>
    <w:div w:id="1451821839">
      <w:bodyDiv w:val="1"/>
      <w:marLeft w:val="0"/>
      <w:marRight w:val="0"/>
      <w:marTop w:val="0"/>
      <w:marBottom w:val="0"/>
      <w:divBdr>
        <w:top w:val="none" w:sz="0" w:space="0" w:color="auto"/>
        <w:left w:val="none" w:sz="0" w:space="0" w:color="auto"/>
        <w:bottom w:val="none" w:sz="0" w:space="0" w:color="auto"/>
        <w:right w:val="none" w:sz="0" w:space="0" w:color="auto"/>
      </w:divBdr>
    </w:div>
    <w:div w:id="2077432949">
      <w:bodyDiv w:val="1"/>
      <w:marLeft w:val="0"/>
      <w:marRight w:val="0"/>
      <w:marTop w:val="0"/>
      <w:marBottom w:val="0"/>
      <w:divBdr>
        <w:top w:val="none" w:sz="0" w:space="0" w:color="auto"/>
        <w:left w:val="none" w:sz="0" w:space="0" w:color="auto"/>
        <w:bottom w:val="none" w:sz="0" w:space="0" w:color="auto"/>
        <w:right w:val="none" w:sz="0" w:space="0" w:color="auto"/>
      </w:divBdr>
    </w:div>
    <w:div w:id="21399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Cap" TargetMode="External"/><Relationship Id="rId13" Type="http://schemas.openxmlformats.org/officeDocument/2006/relationships/hyperlink" Target="https://www-sciencedirect-com.simsrad.net.ocs.mq.edu.au/science/article/pii/S01406736193260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redcap.org/about/faq/" TargetMode="External"/><Relationship Id="rId12" Type="http://schemas.openxmlformats.org/officeDocument/2006/relationships/hyperlink" Target="https://search-proquest-com.simsrad.net.ocs.mq.edu.au/docview/2061282109?pq-origsite=primo" TargetMode="External"/><Relationship Id="rId17" Type="http://schemas.openxmlformats.org/officeDocument/2006/relationships/hyperlink" Target="https://empowers.brother.com.au/2019/03/21/what-is-the-australian-equivalent-of-hipaa-why-does-it-matter/" TargetMode="External"/><Relationship Id="rId2" Type="http://schemas.openxmlformats.org/officeDocument/2006/relationships/styles" Target="styles.xml"/><Relationship Id="rId16" Type="http://schemas.openxmlformats.org/officeDocument/2006/relationships/hyperlink" Target="https://www.health.nsw.gov.au/patients/privacy/Pages/defaul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ltisearch.mq.edu.au/discovery/fulldisplay?docid=cdi_springer_primary_2018_10916_42_8_995&amp;context=PC&amp;vid=61MACQUARIE_INST:MQ&amp;lang=en&amp;search_scope=MyInst_and_CI&amp;adaptor=Primo%20Central&amp;tab=Everything&amp;query=any,contains,sharing%20data%20safely%20while%20preserving%20privacy" TargetMode="External"/><Relationship Id="rId5" Type="http://schemas.openxmlformats.org/officeDocument/2006/relationships/footnotes" Target="footnotes.xml"/><Relationship Id="rId15" Type="http://schemas.openxmlformats.org/officeDocument/2006/relationships/hyperlink" Target="https://www.hhs.gov/hipaa/index.html" TargetMode="External"/><Relationship Id="rId10" Type="http://schemas.openxmlformats.org/officeDocument/2006/relationships/hyperlink" Target="https://www.g2.com/products/redcap/competitors/alternativ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storedc.com/" TargetMode="External"/><Relationship Id="rId14"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2</cp:revision>
  <dcterms:created xsi:type="dcterms:W3CDTF">2021-03-01T04:50:00Z</dcterms:created>
  <dcterms:modified xsi:type="dcterms:W3CDTF">2021-03-03T01:59:00Z</dcterms:modified>
</cp:coreProperties>
</file>