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5BFF"/>
          <w:sz w:val="52"/>
          <w:szCs w:val="52"/>
        </w:rPr>
        <w:t xml:space="preserve">BMI Copilot</w:t>
      </w:r>
    </w:p>
    <w:p>
      <w:pPr>
        <w:spacing w:after="80"/>
      </w:pPr>
      <w:r>
        <w:rPr>
          <w:b/>
          <w:bCs/>
          <w:color w:val="16181D"/>
          <w:sz w:val="26"/>
          <w:szCs w:val="26"/>
        </w:rPr>
        <w:t xml:space="preserve">Business Model Intelligence Copilot</w:t>
      </w:r>
    </w:p>
    <w:p>
      <w:pPr>
        <w:pBdr>
          <w:bottom w:val="single" w:color="2D5BFF" w:sz="12" w:space="6"/>
        </w:pBdr>
        <w:spacing w:after="220"/>
      </w:pPr>
      <w:r>
        <w:rPr>
          <w:i/>
          <w:iCs/>
          <w:color w:val="4A4F5A"/>
          <w:sz w:val="22"/>
          <w:szCs w:val="22"/>
        </w:rPr>
        <w:t xml:space="preserve">Understand any company in minutes — before you ever pick up the phone.</w:t>
      </w:r>
    </w:p>
    <w:p>
      <w:pPr>
        <w:pStyle w:val="Heading1"/>
        <w:spacing w:after="140" w:before="320"/>
      </w:pPr>
      <w:r>
        <w:rPr>
          <w:b/>
          <w:bCs/>
          <w:color w:val="16181D"/>
          <w:sz w:val="30"/>
          <w:szCs w:val="30"/>
        </w:rPr>
        <w:t xml:space="preserve">What it is</w:t>
      </w:r>
    </w:p>
    <w:p>
      <w:pPr>
        <w:spacing w:after="150" w:line="288"/>
      </w:pPr>
      <w:r>
        <w:rPr>
          <w:color w:val="4A4F5A"/>
          <w:sz w:val="22"/>
          <w:szCs w:val="22"/>
        </w:rPr>
        <w:t xml:space="preserve">BMI Copilot is a research assistant that turns a single input — a company name — into a clear, structured business briefing. You type in a company, and within about a minute you have a consultant-style overview of how that business works: what it sells, who it serves, how it earns, what it worries about, and where its opportunities lie.</w:t>
      </w:r>
    </w:p>
    <w:p>
      <w:pPr>
        <w:spacing w:after="150" w:line="288"/>
      </w:pPr>
      <w:r>
        <w:rPr>
          <w:color w:val="4A4F5A"/>
          <w:sz w:val="22"/>
          <w:szCs w:val="22"/>
        </w:rPr>
        <w:t xml:space="preserve">The goal is not to reproduce a company's website or dump a list of search results. It is to explain a business the way an experienced colleague would brief you on the way into a meeting — in plain language, organised so you can absorb it quickly and act on it with confidence.</w:t>
      </w:r>
    </w:p>
    <w:p>
      <w:pPr>
        <w:pStyle w:val="Heading1"/>
        <w:spacing w:after="140" w:before="320"/>
      </w:pPr>
      <w:r>
        <w:rPr>
          <w:b/>
          <w:bCs/>
          <w:color w:val="16181D"/>
          <w:sz w:val="30"/>
          <w:szCs w:val="30"/>
        </w:rPr>
        <w:t xml:space="preserve">The problem it solves</w:t>
      </w:r>
    </w:p>
    <w:p>
      <w:pPr>
        <w:spacing w:after="150" w:line="288"/>
      </w:pPr>
      <w:r>
        <w:rPr>
          <w:color w:val="4A4F5A"/>
          <w:sz w:val="22"/>
          <w:szCs w:val="22"/>
        </w:rPr>
        <w:t xml:space="preserve">Preparing properly for a client conversation is slow work. The information you need is scattered across the company's website, annual reports, industry news, LinkedIn, financial coverage, and competitor sites. Pulling it together takes hours, and even then the picture is fragmented and hard to turn into a coherent point of view.</w:t>
      </w:r>
    </w:p>
    <w:p>
      <w:pPr>
        <w:spacing w:after="150" w:line="288"/>
      </w:pPr>
      <w:r>
        <w:rPr>
          <w:color w:val="4A4F5A"/>
          <w:sz w:val="22"/>
          <w:szCs w:val="22"/>
        </w:rPr>
        <w:t xml:space="preserve">The result is familiar: discovery sessions get delayed, preparation is uneven across the team, and first meetings stay generic because nobody had time to truly understand the client's business beforehand. BMI Copilot removes that friction and gives everyone the same strong starting point in a fraction of the time.</w:t>
      </w:r>
    </w:p>
    <w:p>
      <w:pPr>
        <w:pStyle w:val="Heading1"/>
        <w:spacing w:after="140" w:before="320"/>
      </w:pPr>
      <w:r>
        <w:rPr>
          <w:b/>
          <w:bCs/>
          <w:color w:val="16181D"/>
          <w:sz w:val="30"/>
          <w:szCs w:val="30"/>
        </w:rPr>
        <w:t xml:space="preserve">How it works</w:t>
      </w:r>
    </w:p>
    <w:p>
      <w:pPr>
        <w:spacing w:after="150" w:line="288"/>
      </w:pPr>
      <w:r>
        <w:rPr>
          <w:color w:val="4A4F5A"/>
          <w:sz w:val="22"/>
          <w:szCs w:val="22"/>
        </w:rPr>
        <w:t xml:space="preserve">There are only two steps for the user, and everything else happens automatically:</w:t>
      </w:r>
    </w:p>
    <w:p>
      <w:pPr>
        <w:pStyle w:val="ListParagraph"/>
        <w:numPr>
          <w:ilvl w:val="0"/>
          <w:numId w:val="2"/>
        </w:numPr>
        <w:spacing w:after="110" w:line="280"/>
      </w:pPr>
      <w:r>
        <w:rPr>
          <w:b/>
          <w:bCs/>
          <w:color w:val="16181D"/>
          <w:sz w:val="22"/>
          <w:szCs w:val="22"/>
        </w:rPr>
        <w:t xml:space="preserve">Enter a company name </w:t>
      </w:r>
      <w:r>
        <w:rPr>
          <w:color w:val="4A4F5A"/>
          <w:sz w:val="22"/>
          <w:szCs w:val="22"/>
        </w:rPr>
        <w:t xml:space="preserve">and click Generate.</w:t>
      </w:r>
    </w:p>
    <w:p>
      <w:pPr>
        <w:pStyle w:val="ListParagraph"/>
        <w:numPr>
          <w:ilvl w:val="0"/>
          <w:numId w:val="2"/>
        </w:numPr>
        <w:spacing w:after="110" w:line="280"/>
      </w:pPr>
      <w:r>
        <w:rPr>
          <w:b/>
          <w:bCs/>
          <w:color w:val="16181D"/>
          <w:sz w:val="22"/>
          <w:szCs w:val="22"/>
        </w:rPr>
        <w:t xml:space="preserve">Read the briefing. </w:t>
      </w:r>
      <w:r>
        <w:rPr>
          <w:color w:val="4A4F5A"/>
          <w:sz w:val="22"/>
          <w:szCs w:val="22"/>
        </w:rPr>
        <w:t xml:space="preserve">The tool gathers current, publicly available information about the company from across the web, interprets it, and organises it into a consistent, easy-to-read report. Every briefing lists the sources it drew on, so any specific detail can be checked at the click of a link.</w:t>
      </w:r>
    </w:p>
    <w:p>
      <w:pPr>
        <w:pBdr>
          <w:top w:val="single" w:color="2D5BFF" w:sz="2" w:space="6"/>
          <w:bottom w:val="single" w:color="2D5BFF" w:sz="2" w:space="6"/>
          <w:left w:val="single" w:color="2D5BFF" w:sz="12" w:space="6"/>
          <w:right w:val="single" w:color="2D5BFF" w:sz="2" w:space="6"/>
        </w:pBdr>
        <w:shd w:fill="EEF1FF" w:color="auto" w:val="clear"/>
        <w:spacing w:after="200" w:before="120" w:line="288"/>
        <w:ind w:left="160" w:right="160"/>
      </w:pPr>
      <w:r>
        <w:rPr>
          <w:i/>
          <w:iCs/>
          <w:color w:val="16181D"/>
          <w:sz w:val="22"/>
          <w:szCs w:val="22"/>
        </w:rPr>
        <w:t xml:space="preserve">In short: hours of scattered research become a single, structured briefing you can read in a couple of minutes — and reuse across your team.</w:t>
      </w:r>
    </w:p>
    <w:p>
      <w:pPr>
        <w:pStyle w:val="Heading1"/>
        <w:spacing w:after="140" w:before="320"/>
      </w:pPr>
      <w:r>
        <w:rPr>
          <w:b/>
          <w:bCs/>
          <w:color w:val="16181D"/>
          <w:sz w:val="30"/>
          <w:szCs w:val="30"/>
        </w:rPr>
        <w:t xml:space="preserve">Who it's for</w:t>
      </w:r>
    </w:p>
    <w:p>
      <w:pPr>
        <w:spacing w:after="150" w:line="288"/>
      </w:pPr>
      <w:r>
        <w:rPr>
          <w:color w:val="4A4F5A"/>
          <w:sz w:val="22"/>
          <w:szCs w:val="22"/>
        </w:rPr>
        <w:t xml:space="preserve">BMI Copilot is built for anyone who needs to understand a company quickly before engaging with it: consultants, business analysts, and solution architects preparing for discovery; sales and pre-sales teams qualifying and researching prospects; project managers picking up a new account; and executives who want a fast, reliable read on an organisation before a meeting.</w:t>
      </w:r>
    </w:p>
    <w:p>
      <w:r>
        <w:br w:type="page"/>
      </w:r>
    </w:p>
    <w:p>
      <w:pPr>
        <w:pStyle w:val="Heading1"/>
        <w:spacing w:after="140" w:before="320"/>
      </w:pPr>
      <w:r>
        <w:rPr>
          <w:b/>
          <w:bCs/>
          <w:color w:val="16181D"/>
          <w:sz w:val="30"/>
          <w:szCs w:val="30"/>
        </w:rPr>
        <w:t xml:space="preserve">What's inside every briefing</w:t>
      </w:r>
    </w:p>
    <w:p>
      <w:pPr>
        <w:spacing w:after="150" w:line="288"/>
      </w:pPr>
      <w:r>
        <w:rPr>
          <w:color w:val="4A4F5A"/>
          <w:sz w:val="22"/>
          <w:szCs w:val="22"/>
        </w:rPr>
        <w:t xml:space="preserve">Each report follows the same clear structure, so your team always knows exactly where to look. Sections only appear when there is real information to show, keeping every briefing clean and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5740"/>
      </w:tblGrid>
      <w:tr>
        <w:trPr>
          <w:tblHeader/>
        </w:trPr>
        <w:tc>
          <w:tcPr>
            <w:tcW w:type="dxa" w:w="620"/>
            <w:shd w:fill="2D5BFF" w:color="auto" w:val="clear"/>
            <w:tcMar>
              <w:top w:type="dxa" w:w="90"/>
              <w:left w:type="dxa" w:w="130"/>
              <w:bottom w:type="dxa" w:w="90"/>
              <w:right w:type="dxa" w:w="130"/>
            </w:tcMar>
          </w:tcPr>
          <w:p>
            <w:r>
              <w:rPr>
                <w:b/>
                <w:bCs/>
                <w:color w:val="FFFFFF"/>
                <w:sz w:val="20"/>
                <w:szCs w:val="20"/>
              </w:rPr>
              <w:t xml:space="preserve">#</w:t>
            </w:r>
          </w:p>
        </w:tc>
        <w:tc>
          <w:tcPr>
            <w:tcW w:type="dxa" w:w="3000"/>
            <w:shd w:fill="2D5BFF" w:color="auto" w:val="clear"/>
            <w:tcMar>
              <w:top w:type="dxa" w:w="90"/>
              <w:left w:type="dxa" w:w="130"/>
              <w:bottom w:type="dxa" w:w="90"/>
              <w:right w:type="dxa" w:w="130"/>
            </w:tcMar>
          </w:tcPr>
          <w:p>
            <w:r>
              <w:rPr>
                <w:b/>
                <w:bCs/>
                <w:color w:val="FFFFFF"/>
                <w:sz w:val="20"/>
                <w:szCs w:val="20"/>
              </w:rPr>
              <w:t xml:space="preserve">Section</w:t>
            </w:r>
          </w:p>
        </w:tc>
        <w:tc>
          <w:tcPr>
            <w:tcW w:type="dxa" w:w="5740"/>
            <w:shd w:fill="2D5BFF" w:color="auto" w:val="clear"/>
            <w:tcMar>
              <w:top w:type="dxa" w:w="90"/>
              <w:left w:type="dxa" w:w="130"/>
              <w:bottom w:type="dxa" w:w="90"/>
              <w:right w:type="dxa" w:w="130"/>
            </w:tcMar>
          </w:tcPr>
          <w:p>
            <w:r>
              <w:rPr>
                <w:b/>
                <w:bCs/>
                <w:color w:val="FFFFFF"/>
                <w:sz w:val="20"/>
                <w:szCs w:val="20"/>
              </w:rPr>
              <w:t xml:space="preserve">What it covers</w:t>
            </w:r>
          </w:p>
        </w:tc>
      </w:tr>
      <w:tr>
        <w:tc>
          <w:tcPr>
            <w:tcW w:type="dxa" w:w="620"/>
            <w:tcMar>
              <w:top w:type="dxa" w:w="90"/>
              <w:left w:type="dxa" w:w="130"/>
              <w:bottom w:type="dxa" w:w="90"/>
              <w:right w:type="dxa" w:w="130"/>
            </w:tcMar>
          </w:tcPr>
          <w:p>
            <w:r>
              <w:rPr>
                <w:b/>
                <w:bCs/>
                <w:color w:val="2D5BFF"/>
                <w:sz w:val="20"/>
                <w:szCs w:val="20"/>
              </w:rPr>
              <w:t xml:space="preserve">1</w:t>
            </w:r>
          </w:p>
        </w:tc>
        <w:tc>
          <w:tcPr>
            <w:tcW w:type="dxa" w:w="3000"/>
            <w:tcMar>
              <w:top w:type="dxa" w:w="90"/>
              <w:left w:type="dxa" w:w="130"/>
              <w:bottom w:type="dxa" w:w="90"/>
              <w:right w:type="dxa" w:w="130"/>
            </w:tcMar>
          </w:tcPr>
          <w:p>
            <w:r>
              <w:rPr>
                <w:b/>
                <w:bCs/>
                <w:color w:val="16181D"/>
                <w:sz w:val="20"/>
                <w:szCs w:val="20"/>
              </w:rPr>
              <w:t xml:space="preserve">Executive Summary</w:t>
            </w:r>
          </w:p>
        </w:tc>
        <w:tc>
          <w:tcPr>
            <w:tcW w:type="dxa" w:w="5740"/>
            <w:tcMar>
              <w:top w:type="dxa" w:w="90"/>
              <w:left w:type="dxa" w:w="130"/>
              <w:bottom w:type="dxa" w:w="90"/>
              <w:right w:type="dxa" w:w="130"/>
            </w:tcMar>
          </w:tcPr>
          <w:p>
            <w:r>
              <w:rPr>
                <w:color w:val="4A4F5A"/>
                <w:sz w:val="20"/>
                <w:szCs w:val="20"/>
              </w:rPr>
              <w:t xml:space="preserve">A 30-second read capturing what the company does, who its customers are, how it makes money, its current priorities, biggest challenges, and where its growth is likely to come from.</w:t>
            </w:r>
          </w:p>
        </w:tc>
      </w:tr>
      <w:tr>
        <w:tc>
          <w:tcPr>
            <w:tcW w:type="dxa" w:w="620"/>
            <w:tcMar>
              <w:top w:type="dxa" w:w="90"/>
              <w:left w:type="dxa" w:w="130"/>
              <w:bottom w:type="dxa" w:w="90"/>
              <w:right w:type="dxa" w:w="130"/>
            </w:tcMar>
          </w:tcPr>
          <w:p>
            <w:r>
              <w:rPr>
                <w:b/>
                <w:bCs/>
                <w:color w:val="2D5BFF"/>
                <w:sz w:val="20"/>
                <w:szCs w:val="20"/>
              </w:rPr>
              <w:t xml:space="preserve">2</w:t>
            </w:r>
          </w:p>
        </w:tc>
        <w:tc>
          <w:tcPr>
            <w:tcW w:type="dxa" w:w="3000"/>
            <w:tcMar>
              <w:top w:type="dxa" w:w="90"/>
              <w:left w:type="dxa" w:w="130"/>
              <w:bottom w:type="dxa" w:w="90"/>
              <w:right w:type="dxa" w:w="130"/>
            </w:tcMar>
          </w:tcPr>
          <w:p>
            <w:r>
              <w:rPr>
                <w:b/>
                <w:bCs/>
                <w:color w:val="16181D"/>
                <w:sz w:val="20"/>
                <w:szCs w:val="20"/>
              </w:rPr>
              <w:t xml:space="preserve">Company Profile</w:t>
            </w:r>
          </w:p>
        </w:tc>
        <w:tc>
          <w:tcPr>
            <w:tcW w:type="dxa" w:w="5740"/>
            <w:tcMar>
              <w:top w:type="dxa" w:w="90"/>
              <w:left w:type="dxa" w:w="130"/>
              <w:bottom w:type="dxa" w:w="90"/>
              <w:right w:type="dxa" w:w="130"/>
            </w:tcMar>
          </w:tcPr>
          <w:p>
            <w:r>
              <w:rPr>
                <w:color w:val="4A4F5A"/>
                <w:sz w:val="20"/>
                <w:szCs w:val="20"/>
              </w:rPr>
              <w:t xml:space="preserve">The essentials: full legal name and brands, brand identity and tagline, headquarters and key locations, years in business, size, ownership, official website and social channels, and the leadership team and organisational structure.</w:t>
            </w:r>
          </w:p>
        </w:tc>
      </w:tr>
      <w:tr>
        <w:tc>
          <w:tcPr>
            <w:tcW w:type="dxa" w:w="620"/>
            <w:tcMar>
              <w:top w:type="dxa" w:w="90"/>
              <w:left w:type="dxa" w:w="130"/>
              <w:bottom w:type="dxa" w:w="90"/>
              <w:right w:type="dxa" w:w="130"/>
            </w:tcMar>
          </w:tcPr>
          <w:p>
            <w:r>
              <w:rPr>
                <w:b/>
                <w:bCs/>
                <w:color w:val="2D5BFF"/>
                <w:sz w:val="20"/>
                <w:szCs w:val="20"/>
              </w:rPr>
              <w:t xml:space="preserve">3</w:t>
            </w:r>
          </w:p>
        </w:tc>
        <w:tc>
          <w:tcPr>
            <w:tcW w:type="dxa" w:w="3000"/>
            <w:tcMar>
              <w:top w:type="dxa" w:w="90"/>
              <w:left w:type="dxa" w:w="130"/>
              <w:bottom w:type="dxa" w:w="90"/>
              <w:right w:type="dxa" w:w="130"/>
            </w:tcMar>
          </w:tcPr>
          <w:p>
            <w:r>
              <w:rPr>
                <w:b/>
                <w:bCs/>
                <w:color w:val="16181D"/>
                <w:sz w:val="20"/>
                <w:szCs w:val="20"/>
              </w:rPr>
              <w:t xml:space="preserve">Business Model</w:t>
            </w:r>
          </w:p>
        </w:tc>
        <w:tc>
          <w:tcPr>
            <w:tcW w:type="dxa" w:w="5740"/>
            <w:tcMar>
              <w:top w:type="dxa" w:w="90"/>
              <w:left w:type="dxa" w:w="130"/>
              <w:bottom w:type="dxa" w:w="90"/>
              <w:right w:type="dxa" w:w="130"/>
            </w:tcMar>
          </w:tcPr>
          <w:p>
            <w:r>
              <w:rPr>
                <w:color w:val="4A4F5A"/>
                <w:sz w:val="20"/>
                <w:szCs w:val="20"/>
              </w:rPr>
              <w:t xml:space="preserve">How the business actually works — the problem it solves, who its customers are, what it offers, how it delivers value, and what sets it apart from the alternatives.</w:t>
            </w:r>
          </w:p>
        </w:tc>
      </w:tr>
      <w:tr>
        <w:tc>
          <w:tcPr>
            <w:tcW w:type="dxa" w:w="620"/>
            <w:tcMar>
              <w:top w:type="dxa" w:w="90"/>
              <w:left w:type="dxa" w:w="130"/>
              <w:bottom w:type="dxa" w:w="90"/>
              <w:right w:type="dxa" w:w="130"/>
            </w:tcMar>
          </w:tcPr>
          <w:p>
            <w:r>
              <w:rPr>
                <w:b/>
                <w:bCs/>
                <w:color w:val="2D5BFF"/>
                <w:sz w:val="20"/>
                <w:szCs w:val="20"/>
              </w:rPr>
              <w:t xml:space="preserve">4</w:t>
            </w:r>
          </w:p>
        </w:tc>
        <w:tc>
          <w:tcPr>
            <w:tcW w:type="dxa" w:w="3000"/>
            <w:tcMar>
              <w:top w:type="dxa" w:w="90"/>
              <w:left w:type="dxa" w:w="130"/>
              <w:bottom w:type="dxa" w:w="90"/>
              <w:right w:type="dxa" w:w="130"/>
            </w:tcMar>
          </w:tcPr>
          <w:p>
            <w:r>
              <w:rPr>
                <w:b/>
                <w:bCs/>
                <w:color w:val="16181D"/>
                <w:sz w:val="20"/>
                <w:szCs w:val="20"/>
              </w:rPr>
              <w:t xml:space="preserve">Revenue Model</w:t>
            </w:r>
          </w:p>
        </w:tc>
        <w:tc>
          <w:tcPr>
            <w:tcW w:type="dxa" w:w="5740"/>
            <w:tcMar>
              <w:top w:type="dxa" w:w="90"/>
              <w:left w:type="dxa" w:w="130"/>
              <w:bottom w:type="dxa" w:w="90"/>
              <w:right w:type="dxa" w:w="130"/>
            </w:tcMar>
          </w:tcPr>
          <w:p>
            <w:r>
              <w:rPr>
                <w:color w:val="4A4F5A"/>
                <w:sz w:val="20"/>
                <w:szCs w:val="20"/>
              </w:rPr>
              <w:t xml:space="preserve">A clear breakdown of where the money comes from, showing each revenue stream and whether it is a primary, secondary, or emerging source of income.</w:t>
            </w:r>
          </w:p>
        </w:tc>
      </w:tr>
      <w:tr>
        <w:tc>
          <w:tcPr>
            <w:tcW w:type="dxa" w:w="620"/>
            <w:tcMar>
              <w:top w:type="dxa" w:w="90"/>
              <w:left w:type="dxa" w:w="130"/>
              <w:bottom w:type="dxa" w:w="90"/>
              <w:right w:type="dxa" w:w="130"/>
            </w:tcMar>
          </w:tcPr>
          <w:p>
            <w:r>
              <w:rPr>
                <w:b/>
                <w:bCs/>
                <w:color w:val="2D5BFF"/>
                <w:sz w:val="20"/>
                <w:szCs w:val="20"/>
              </w:rPr>
              <w:t xml:space="preserve">5</w:t>
            </w:r>
          </w:p>
        </w:tc>
        <w:tc>
          <w:tcPr>
            <w:tcW w:type="dxa" w:w="3000"/>
            <w:tcMar>
              <w:top w:type="dxa" w:w="90"/>
              <w:left w:type="dxa" w:w="130"/>
              <w:bottom w:type="dxa" w:w="90"/>
              <w:right w:type="dxa" w:w="130"/>
            </w:tcMar>
          </w:tcPr>
          <w:p>
            <w:r>
              <w:rPr>
                <w:b/>
                <w:bCs/>
                <w:color w:val="16181D"/>
                <w:sz w:val="20"/>
                <w:szCs w:val="20"/>
              </w:rPr>
              <w:t xml:space="preserve">Customer Segments</w:t>
            </w:r>
          </w:p>
        </w:tc>
        <w:tc>
          <w:tcPr>
            <w:tcW w:type="dxa" w:w="5740"/>
            <w:tcMar>
              <w:top w:type="dxa" w:w="90"/>
              <w:left w:type="dxa" w:w="130"/>
              <w:bottom w:type="dxa" w:w="90"/>
              <w:right w:type="dxa" w:w="130"/>
            </w:tcMar>
          </w:tcPr>
          <w:p>
            <w:r>
              <w:rPr>
                <w:color w:val="4A4F5A"/>
                <w:sz w:val="20"/>
                <w:szCs w:val="20"/>
              </w:rPr>
              <w:t xml:space="preserve">The distinct groups the company serves and what each of them buys.</w:t>
            </w:r>
          </w:p>
        </w:tc>
      </w:tr>
      <w:tr>
        <w:tc>
          <w:tcPr>
            <w:tcW w:type="dxa" w:w="620"/>
            <w:tcMar>
              <w:top w:type="dxa" w:w="90"/>
              <w:left w:type="dxa" w:w="130"/>
              <w:bottom w:type="dxa" w:w="90"/>
              <w:right w:type="dxa" w:w="130"/>
            </w:tcMar>
          </w:tcPr>
          <w:p>
            <w:r>
              <w:rPr>
                <w:b/>
                <w:bCs/>
                <w:color w:val="2D5BFF"/>
                <w:sz w:val="20"/>
                <w:szCs w:val="20"/>
              </w:rPr>
              <w:t xml:space="preserve">6</w:t>
            </w:r>
          </w:p>
        </w:tc>
        <w:tc>
          <w:tcPr>
            <w:tcW w:type="dxa" w:w="3000"/>
            <w:tcMar>
              <w:top w:type="dxa" w:w="90"/>
              <w:left w:type="dxa" w:w="130"/>
              <w:bottom w:type="dxa" w:w="90"/>
              <w:right w:type="dxa" w:w="130"/>
            </w:tcMar>
          </w:tcPr>
          <w:p>
            <w:r>
              <w:rPr>
                <w:b/>
                <w:bCs/>
                <w:color w:val="16181D"/>
                <w:sz w:val="20"/>
                <w:szCs w:val="20"/>
              </w:rPr>
              <w:t xml:space="preserve">Products &amp; Services</w:t>
            </w:r>
          </w:p>
        </w:tc>
        <w:tc>
          <w:tcPr>
            <w:tcW w:type="dxa" w:w="5740"/>
            <w:tcMar>
              <w:top w:type="dxa" w:w="90"/>
              <w:left w:type="dxa" w:w="130"/>
              <w:bottom w:type="dxa" w:w="90"/>
              <w:right w:type="dxa" w:w="130"/>
            </w:tcMar>
          </w:tcPr>
          <w:p>
            <w:r>
              <w:rPr>
                <w:color w:val="4A4F5A"/>
                <w:sz w:val="20"/>
                <w:szCs w:val="20"/>
              </w:rPr>
              <w:t xml:space="preserve">The core offerings, each described in plain language.</w:t>
            </w:r>
          </w:p>
        </w:tc>
      </w:tr>
      <w:tr>
        <w:tc>
          <w:tcPr>
            <w:tcW w:type="dxa" w:w="620"/>
            <w:tcMar>
              <w:top w:type="dxa" w:w="90"/>
              <w:left w:type="dxa" w:w="130"/>
              <w:bottom w:type="dxa" w:w="90"/>
              <w:right w:type="dxa" w:w="130"/>
            </w:tcMar>
          </w:tcPr>
          <w:p>
            <w:r>
              <w:rPr>
                <w:b/>
                <w:bCs/>
                <w:color w:val="2D5BFF"/>
                <w:sz w:val="20"/>
                <w:szCs w:val="20"/>
              </w:rPr>
              <w:t xml:space="preserve">7</w:t>
            </w:r>
          </w:p>
        </w:tc>
        <w:tc>
          <w:tcPr>
            <w:tcW w:type="dxa" w:w="3000"/>
            <w:tcMar>
              <w:top w:type="dxa" w:w="90"/>
              <w:left w:type="dxa" w:w="130"/>
              <w:bottom w:type="dxa" w:w="90"/>
              <w:right w:type="dxa" w:w="130"/>
            </w:tcMar>
          </w:tcPr>
          <w:p>
            <w:r>
              <w:rPr>
                <w:b/>
                <w:bCs/>
                <w:color w:val="16181D"/>
                <w:sz w:val="20"/>
                <w:szCs w:val="20"/>
              </w:rPr>
              <w:t xml:space="preserve">Value Chain &amp; Processes</w:t>
            </w:r>
          </w:p>
        </w:tc>
        <w:tc>
          <w:tcPr>
            <w:tcW w:type="dxa" w:w="5740"/>
            <w:tcMar>
              <w:top w:type="dxa" w:w="90"/>
              <w:left w:type="dxa" w:w="130"/>
              <w:bottom w:type="dxa" w:w="90"/>
              <w:right w:type="dxa" w:w="130"/>
            </w:tcMar>
          </w:tcPr>
          <w:p>
            <w:r>
              <w:rPr>
                <w:color w:val="4A4F5A"/>
                <w:sz w:val="20"/>
                <w:szCs w:val="20"/>
              </w:rPr>
              <w:t xml:space="preserve">How the company operates end to end — from winning customers through to delivering and supporting the product or service.</w:t>
            </w:r>
          </w:p>
        </w:tc>
      </w:tr>
      <w:tr>
        <w:tc>
          <w:tcPr>
            <w:tcW w:type="dxa" w:w="620"/>
            <w:tcMar>
              <w:top w:type="dxa" w:w="90"/>
              <w:left w:type="dxa" w:w="130"/>
              <w:bottom w:type="dxa" w:w="90"/>
              <w:right w:type="dxa" w:w="130"/>
            </w:tcMar>
          </w:tcPr>
          <w:p>
            <w:r>
              <w:rPr>
                <w:b/>
                <w:bCs/>
                <w:color w:val="2D5BFF"/>
                <w:sz w:val="20"/>
                <w:szCs w:val="20"/>
              </w:rPr>
              <w:t xml:space="preserve">8</w:t>
            </w:r>
          </w:p>
        </w:tc>
        <w:tc>
          <w:tcPr>
            <w:tcW w:type="dxa" w:w="3000"/>
            <w:tcMar>
              <w:top w:type="dxa" w:w="90"/>
              <w:left w:type="dxa" w:w="130"/>
              <w:bottom w:type="dxa" w:w="90"/>
              <w:right w:type="dxa" w:w="130"/>
            </w:tcMar>
          </w:tcPr>
          <w:p>
            <w:r>
              <w:rPr>
                <w:b/>
                <w:bCs/>
                <w:color w:val="16181D"/>
                <w:sz w:val="20"/>
                <w:szCs w:val="20"/>
              </w:rPr>
              <w:t xml:space="preserve">Business KPIs</w:t>
            </w:r>
          </w:p>
        </w:tc>
        <w:tc>
          <w:tcPr>
            <w:tcW w:type="dxa" w:w="5740"/>
            <w:tcMar>
              <w:top w:type="dxa" w:w="90"/>
              <w:left w:type="dxa" w:w="130"/>
              <w:bottom w:type="dxa" w:w="90"/>
              <w:right w:type="dxa" w:w="130"/>
            </w:tcMar>
          </w:tcPr>
          <w:p>
            <w:r>
              <w:rPr>
                <w:color w:val="4A4F5A"/>
                <w:sz w:val="20"/>
                <w:szCs w:val="20"/>
              </w:rPr>
              <w:t xml:space="preserve">The metrics this type of business is measured on, why each one matters, and typical benchmarks — useful for framing performance conversations.</w:t>
            </w:r>
          </w:p>
        </w:tc>
      </w:tr>
      <w:tr>
        <w:tc>
          <w:tcPr>
            <w:tcW w:type="dxa" w:w="620"/>
            <w:tcMar>
              <w:top w:type="dxa" w:w="90"/>
              <w:left w:type="dxa" w:w="130"/>
              <w:bottom w:type="dxa" w:w="90"/>
              <w:right w:type="dxa" w:w="130"/>
            </w:tcMar>
          </w:tcPr>
          <w:p>
            <w:r>
              <w:rPr>
                <w:b/>
                <w:bCs/>
                <w:color w:val="2D5BFF"/>
                <w:sz w:val="20"/>
                <w:szCs w:val="20"/>
              </w:rPr>
              <w:t xml:space="preserve">9</w:t>
            </w:r>
          </w:p>
        </w:tc>
        <w:tc>
          <w:tcPr>
            <w:tcW w:type="dxa" w:w="3000"/>
            <w:tcMar>
              <w:top w:type="dxa" w:w="90"/>
              <w:left w:type="dxa" w:w="130"/>
              <w:bottom w:type="dxa" w:w="90"/>
              <w:right w:type="dxa" w:w="130"/>
            </w:tcMar>
          </w:tcPr>
          <w:p>
            <w:r>
              <w:rPr>
                <w:b/>
                <w:bCs/>
                <w:color w:val="16181D"/>
                <w:sz w:val="20"/>
                <w:szCs w:val="20"/>
              </w:rPr>
              <w:t xml:space="preserve">Challenges</w:t>
            </w:r>
          </w:p>
        </w:tc>
        <w:tc>
          <w:tcPr>
            <w:tcW w:type="dxa" w:w="5740"/>
            <w:tcMar>
              <w:top w:type="dxa" w:w="90"/>
              <w:left w:type="dxa" w:w="130"/>
              <w:bottom w:type="dxa" w:w="90"/>
              <w:right w:type="dxa" w:w="130"/>
            </w:tcMar>
          </w:tcPr>
          <w:p>
            <w:r>
              <w:rPr>
                <w:color w:val="4A4F5A"/>
                <w:sz w:val="20"/>
                <w:szCs w:val="20"/>
              </w:rPr>
              <w:t xml:space="preserve">The pressures facing the wider industry alongside the issues specific to this company.</w:t>
            </w:r>
          </w:p>
        </w:tc>
      </w:tr>
      <w:tr>
        <w:tc>
          <w:tcPr>
            <w:tcW w:type="dxa" w:w="620"/>
            <w:tcMar>
              <w:top w:type="dxa" w:w="90"/>
              <w:left w:type="dxa" w:w="130"/>
              <w:bottom w:type="dxa" w:w="90"/>
              <w:right w:type="dxa" w:w="130"/>
            </w:tcMar>
          </w:tcPr>
          <w:p>
            <w:r>
              <w:rPr>
                <w:b/>
                <w:bCs/>
                <w:color w:val="2D5BFF"/>
                <w:sz w:val="20"/>
                <w:szCs w:val="20"/>
              </w:rPr>
              <w:t xml:space="preserve">10</w:t>
            </w:r>
          </w:p>
        </w:tc>
        <w:tc>
          <w:tcPr>
            <w:tcW w:type="dxa" w:w="3000"/>
            <w:tcMar>
              <w:top w:type="dxa" w:w="90"/>
              <w:left w:type="dxa" w:w="130"/>
              <w:bottom w:type="dxa" w:w="90"/>
              <w:right w:type="dxa" w:w="130"/>
            </w:tcMar>
          </w:tcPr>
          <w:p>
            <w:r>
              <w:rPr>
                <w:b/>
                <w:bCs/>
                <w:color w:val="16181D"/>
                <w:sz w:val="20"/>
                <w:szCs w:val="20"/>
              </w:rPr>
              <w:t xml:space="preserve">SWOT Analysis</w:t>
            </w:r>
          </w:p>
        </w:tc>
        <w:tc>
          <w:tcPr>
            <w:tcW w:type="dxa" w:w="5740"/>
            <w:tcMar>
              <w:top w:type="dxa" w:w="90"/>
              <w:left w:type="dxa" w:w="130"/>
              <w:bottom w:type="dxa" w:w="90"/>
              <w:right w:type="dxa" w:w="130"/>
            </w:tcMar>
          </w:tcPr>
          <w:p>
            <w:r>
              <w:rPr>
                <w:color w:val="4A4F5A"/>
                <w:sz w:val="20"/>
                <w:szCs w:val="20"/>
              </w:rPr>
              <w:t xml:space="preserve">Strengths, weaknesses, opportunities, and threats summarised at a glance.</w:t>
            </w:r>
          </w:p>
        </w:tc>
      </w:tr>
      <w:tr>
        <w:tc>
          <w:tcPr>
            <w:tcW w:type="dxa" w:w="620"/>
            <w:tcMar>
              <w:top w:type="dxa" w:w="90"/>
              <w:left w:type="dxa" w:w="130"/>
              <w:bottom w:type="dxa" w:w="90"/>
              <w:right w:type="dxa" w:w="130"/>
            </w:tcMar>
          </w:tcPr>
          <w:p>
            <w:r>
              <w:rPr>
                <w:b/>
                <w:bCs/>
                <w:color w:val="2D5BFF"/>
                <w:sz w:val="20"/>
                <w:szCs w:val="20"/>
              </w:rPr>
              <w:t xml:space="preserve">11</w:t>
            </w:r>
          </w:p>
        </w:tc>
        <w:tc>
          <w:tcPr>
            <w:tcW w:type="dxa" w:w="3000"/>
            <w:tcMar>
              <w:top w:type="dxa" w:w="90"/>
              <w:left w:type="dxa" w:w="130"/>
              <w:bottom w:type="dxa" w:w="90"/>
              <w:right w:type="dxa" w:w="130"/>
            </w:tcMar>
          </w:tcPr>
          <w:p>
            <w:r>
              <w:rPr>
                <w:b/>
                <w:bCs/>
                <w:color w:val="16181D"/>
                <w:sz w:val="20"/>
                <w:szCs w:val="20"/>
              </w:rPr>
              <w:t xml:space="preserve">Culture &amp; Values</w:t>
            </w:r>
          </w:p>
        </w:tc>
        <w:tc>
          <w:tcPr>
            <w:tcW w:type="dxa" w:w="5740"/>
            <w:tcMar>
              <w:top w:type="dxa" w:w="90"/>
              <w:left w:type="dxa" w:w="130"/>
              <w:bottom w:type="dxa" w:w="90"/>
              <w:right w:type="dxa" w:w="130"/>
            </w:tcMar>
          </w:tcPr>
          <w:p>
            <w:r>
              <w:rPr>
                <w:color w:val="4A4F5A"/>
                <w:sz w:val="20"/>
                <w:szCs w:val="20"/>
              </w:rPr>
              <w:t xml:space="preserve">Mission and vision, core values, the nature of the work culture, and corporate social responsibility.</w:t>
            </w:r>
          </w:p>
        </w:tc>
      </w:tr>
      <w:tr>
        <w:tc>
          <w:tcPr>
            <w:tcW w:type="dxa" w:w="620"/>
            <w:tcMar>
              <w:top w:type="dxa" w:w="90"/>
              <w:left w:type="dxa" w:w="130"/>
              <w:bottom w:type="dxa" w:w="90"/>
              <w:right w:type="dxa" w:w="130"/>
            </w:tcMar>
          </w:tcPr>
          <w:p>
            <w:r>
              <w:rPr>
                <w:b/>
                <w:bCs/>
                <w:color w:val="2D5BFF"/>
                <w:sz w:val="20"/>
                <w:szCs w:val="20"/>
              </w:rPr>
              <w:t xml:space="preserve">12</w:t>
            </w:r>
          </w:p>
        </w:tc>
        <w:tc>
          <w:tcPr>
            <w:tcW w:type="dxa" w:w="3000"/>
            <w:tcMar>
              <w:top w:type="dxa" w:w="90"/>
              <w:left w:type="dxa" w:w="130"/>
              <w:bottom w:type="dxa" w:w="90"/>
              <w:right w:type="dxa" w:w="130"/>
            </w:tcMar>
          </w:tcPr>
          <w:p>
            <w:r>
              <w:rPr>
                <w:b/>
                <w:bCs/>
                <w:color w:val="16181D"/>
                <w:sz w:val="20"/>
                <w:szCs w:val="20"/>
              </w:rPr>
              <w:t xml:space="preserve">Partnerships</w:t>
            </w:r>
          </w:p>
        </w:tc>
        <w:tc>
          <w:tcPr>
            <w:tcW w:type="dxa" w:w="5740"/>
            <w:tcMar>
              <w:top w:type="dxa" w:w="90"/>
              <w:left w:type="dxa" w:w="130"/>
              <w:bottom w:type="dxa" w:w="90"/>
              <w:right w:type="dxa" w:w="130"/>
            </w:tcMar>
          </w:tcPr>
          <w:p>
            <w:r>
              <w:rPr>
                <w:color w:val="4A4F5A"/>
                <w:sz w:val="20"/>
                <w:szCs w:val="20"/>
              </w:rPr>
              <w:t xml:space="preserve">Key partners, alliances, and joint ventures that shape how the company operates.</w:t>
            </w:r>
          </w:p>
        </w:tc>
      </w:tr>
      <w:tr>
        <w:tc>
          <w:tcPr>
            <w:tcW w:type="dxa" w:w="620"/>
            <w:tcMar>
              <w:top w:type="dxa" w:w="90"/>
              <w:left w:type="dxa" w:w="130"/>
              <w:bottom w:type="dxa" w:w="90"/>
              <w:right w:type="dxa" w:w="130"/>
            </w:tcMar>
          </w:tcPr>
          <w:p>
            <w:r>
              <w:rPr>
                <w:b/>
                <w:bCs/>
                <w:color w:val="2D5BFF"/>
                <w:sz w:val="20"/>
                <w:szCs w:val="20"/>
              </w:rPr>
              <w:t xml:space="preserve">13</w:t>
            </w:r>
          </w:p>
        </w:tc>
        <w:tc>
          <w:tcPr>
            <w:tcW w:type="dxa" w:w="3000"/>
            <w:tcMar>
              <w:top w:type="dxa" w:w="90"/>
              <w:left w:type="dxa" w:w="130"/>
              <w:bottom w:type="dxa" w:w="90"/>
              <w:right w:type="dxa" w:w="130"/>
            </w:tcMar>
          </w:tcPr>
          <w:p>
            <w:r>
              <w:rPr>
                <w:b/>
                <w:bCs/>
                <w:color w:val="16181D"/>
                <w:sz w:val="20"/>
                <w:szCs w:val="20"/>
              </w:rPr>
              <w:t xml:space="preserve">Financials</w:t>
            </w:r>
          </w:p>
        </w:tc>
        <w:tc>
          <w:tcPr>
            <w:tcW w:type="dxa" w:w="5740"/>
            <w:tcMar>
              <w:top w:type="dxa" w:w="90"/>
              <w:left w:type="dxa" w:w="130"/>
              <w:bottom w:type="dxa" w:w="90"/>
              <w:right w:type="dxa" w:w="130"/>
            </w:tcMar>
          </w:tcPr>
          <w:p>
            <w:r>
              <w:rPr>
                <w:color w:val="4A4F5A"/>
                <w:sz w:val="20"/>
                <w:szCs w:val="20"/>
              </w:rPr>
              <w:t xml:space="preserve">Revenue or informed estimates, funding and investment activity, and any reported financial pressures.</w:t>
            </w:r>
          </w:p>
        </w:tc>
      </w:tr>
      <w:tr>
        <w:tc>
          <w:tcPr>
            <w:tcW w:type="dxa" w:w="620"/>
            <w:tcMar>
              <w:top w:type="dxa" w:w="90"/>
              <w:left w:type="dxa" w:w="130"/>
              <w:bottom w:type="dxa" w:w="90"/>
              <w:right w:type="dxa" w:w="130"/>
            </w:tcMar>
          </w:tcPr>
          <w:p>
            <w:r>
              <w:rPr>
                <w:b/>
                <w:bCs/>
                <w:color w:val="2D5BFF"/>
                <w:sz w:val="20"/>
                <w:szCs w:val="20"/>
              </w:rPr>
              <w:t xml:space="preserve">14</w:t>
            </w:r>
          </w:p>
        </w:tc>
        <w:tc>
          <w:tcPr>
            <w:tcW w:type="dxa" w:w="3000"/>
            <w:tcMar>
              <w:top w:type="dxa" w:w="90"/>
              <w:left w:type="dxa" w:w="130"/>
              <w:bottom w:type="dxa" w:w="90"/>
              <w:right w:type="dxa" w:w="130"/>
            </w:tcMar>
          </w:tcPr>
          <w:p>
            <w:r>
              <w:rPr>
                <w:b/>
                <w:bCs/>
                <w:color w:val="16181D"/>
                <w:sz w:val="20"/>
                <w:szCs w:val="20"/>
              </w:rPr>
              <w:t xml:space="preserve">Opportunities</w:t>
            </w:r>
          </w:p>
        </w:tc>
        <w:tc>
          <w:tcPr>
            <w:tcW w:type="dxa" w:w="5740"/>
            <w:tcMar>
              <w:top w:type="dxa" w:w="90"/>
              <w:left w:type="dxa" w:w="130"/>
              <w:bottom w:type="dxa" w:w="90"/>
              <w:right w:type="dxa" w:w="130"/>
            </w:tcMar>
          </w:tcPr>
          <w:p>
            <w:r>
              <w:rPr>
                <w:color w:val="4A4F5A"/>
                <w:sz w:val="20"/>
                <w:szCs w:val="20"/>
              </w:rPr>
              <w:t xml:space="preserve">Practical, tailored suggestions — where AI, analytics, and technology could add value to this specific business.</w:t>
            </w:r>
          </w:p>
        </w:tc>
      </w:tr>
      <w:tr>
        <w:tc>
          <w:tcPr>
            <w:tcW w:type="dxa" w:w="620"/>
            <w:tcMar>
              <w:top w:type="dxa" w:w="90"/>
              <w:left w:type="dxa" w:w="130"/>
              <w:bottom w:type="dxa" w:w="90"/>
              <w:right w:type="dxa" w:w="130"/>
            </w:tcMar>
          </w:tcPr>
          <w:p>
            <w:r>
              <w:rPr>
                <w:b/>
                <w:bCs/>
                <w:color w:val="2D5BFF"/>
                <w:sz w:val="20"/>
                <w:szCs w:val="20"/>
              </w:rPr>
              <w:t xml:space="preserve">15</w:t>
            </w:r>
          </w:p>
        </w:tc>
        <w:tc>
          <w:tcPr>
            <w:tcW w:type="dxa" w:w="3000"/>
            <w:tcMar>
              <w:top w:type="dxa" w:w="90"/>
              <w:left w:type="dxa" w:w="130"/>
              <w:bottom w:type="dxa" w:w="90"/>
              <w:right w:type="dxa" w:w="130"/>
            </w:tcMar>
          </w:tcPr>
          <w:p>
            <w:r>
              <w:rPr>
                <w:b/>
                <w:bCs/>
                <w:color w:val="16181D"/>
                <w:sz w:val="20"/>
                <w:szCs w:val="20"/>
              </w:rPr>
              <w:t xml:space="preserve">Recent News</w:t>
            </w:r>
          </w:p>
        </w:tc>
        <w:tc>
          <w:tcPr>
            <w:tcW w:type="dxa" w:w="5740"/>
            <w:tcMar>
              <w:top w:type="dxa" w:w="90"/>
              <w:left w:type="dxa" w:w="130"/>
              <w:bottom w:type="dxa" w:w="90"/>
              <w:right w:type="dxa" w:w="130"/>
            </w:tcMar>
          </w:tcPr>
          <w:p>
            <w:r>
              <w:rPr>
                <w:color w:val="4A4F5A"/>
                <w:sz w:val="20"/>
                <w:szCs w:val="20"/>
              </w:rPr>
              <w:t xml:space="preserve">Notable developments, announcements, and moves from recent months, so you walk in current.</w:t>
            </w:r>
          </w:p>
        </w:tc>
      </w:tr>
    </w:tbl>
    <w:p>
      <w:r>
        <w:br w:type="page"/>
      </w:r>
    </w:p>
    <w:p>
      <w:pPr>
        <w:pStyle w:val="Heading1"/>
        <w:spacing w:after="140" w:before="320"/>
      </w:pPr>
      <w:r>
        <w:rPr>
          <w:b/>
          <w:bCs/>
          <w:color w:val="16181D"/>
          <w:sz w:val="30"/>
          <w:szCs w:val="30"/>
        </w:rPr>
        <w:t xml:space="preserve">An example in practice</w:t>
      </w:r>
    </w:p>
    <w:p>
      <w:pPr>
        <w:spacing w:after="150" w:line="288"/>
      </w:pPr>
      <w:r>
        <w:rPr>
          <w:color w:val="4A4F5A"/>
          <w:sz w:val="22"/>
          <w:szCs w:val="22"/>
        </w:rPr>
        <w:t xml:space="preserve">Imagine a consultant has a first meeting scheduled with a regional bank. Rather than spending the afternoon before reading annual reports and news articles, they enter the bank's name into BMI Copilot.</w:t>
      </w:r>
    </w:p>
    <w:p>
      <w:pPr>
        <w:spacing w:after="150" w:line="288"/>
      </w:pPr>
      <w:r>
        <w:rPr>
          <w:color w:val="4A4F5A"/>
          <w:sz w:val="22"/>
          <w:szCs w:val="22"/>
        </w:rPr>
        <w:t xml:space="preserve">Moments later they have a briefing that explains the bank earns most of its revenue from interest on loans, supplemented by fee-based services and wealth management; that its priorities are digital adoption and cybersecurity; that its biggest pressures are fintech competition and legacy systems; and that recent news points to a new mobile banking initiative. The briefing also suggests where technology could help and lists smart questions to raise in the meeting.</w:t>
      </w:r>
    </w:p>
    <w:p>
      <w:pPr>
        <w:spacing w:after="150" w:line="288"/>
      </w:pPr>
      <w:r>
        <w:rPr>
          <w:color w:val="4A4F5A"/>
          <w:sz w:val="22"/>
          <w:szCs w:val="22"/>
        </w:rPr>
        <w:t xml:space="preserve">The consultant walks in already understanding the business — and spends the meeting having a sharper conversation instead of asking basic questions.</w:t>
      </w:r>
    </w:p>
    <w:p>
      <w:pPr>
        <w:pStyle w:val="Heading1"/>
        <w:spacing w:after="140" w:before="320"/>
      </w:pPr>
      <w:r>
        <w:rPr>
          <w:b/>
          <w:bCs/>
          <w:color w:val="16181D"/>
          <w:sz w:val="30"/>
          <w:szCs w:val="30"/>
        </w:rPr>
        <w:t xml:space="preserve">Why it's better than a quick web search</w:t>
      </w:r>
    </w:p>
    <w:p>
      <w:pPr>
        <w:pStyle w:val="ListParagraph"/>
        <w:numPr>
          <w:ilvl w:val="0"/>
          <w:numId w:val="2"/>
        </w:numPr>
        <w:spacing w:after="110" w:line="280"/>
      </w:pPr>
      <w:r>
        <w:rPr>
          <w:b/>
          <w:bCs/>
          <w:color w:val="16181D"/>
          <w:sz w:val="22"/>
          <w:szCs w:val="22"/>
        </w:rPr>
        <w:t xml:space="preserve">It explains, it doesn't just list. </w:t>
      </w:r>
      <w:r>
        <w:rPr>
          <w:color w:val="4A4F5A"/>
          <w:sz w:val="22"/>
          <w:szCs w:val="22"/>
        </w:rPr>
        <w:t xml:space="preserve">You get an interpreted view of how the business works, not a page of links to sift through.</w:t>
      </w:r>
    </w:p>
    <w:p>
      <w:pPr>
        <w:pStyle w:val="ListParagraph"/>
        <w:numPr>
          <w:ilvl w:val="0"/>
          <w:numId w:val="2"/>
        </w:numPr>
        <w:spacing w:after="110" w:line="280"/>
      </w:pPr>
      <w:r>
        <w:rPr>
          <w:b/>
          <w:bCs/>
          <w:color w:val="16181D"/>
          <w:sz w:val="22"/>
          <w:szCs w:val="22"/>
        </w:rPr>
        <w:t xml:space="preserve">It's structured and consistent. </w:t>
      </w:r>
      <w:r>
        <w:rPr>
          <w:color w:val="4A4F5A"/>
          <w:sz w:val="22"/>
          <w:szCs w:val="22"/>
        </w:rPr>
        <w:t xml:space="preserve">Every company is presented in the same trusted format, so briefings are easy to compare and share.</w:t>
      </w:r>
    </w:p>
    <w:p>
      <w:pPr>
        <w:pStyle w:val="ListParagraph"/>
        <w:numPr>
          <w:ilvl w:val="0"/>
          <w:numId w:val="2"/>
        </w:numPr>
        <w:spacing w:after="110" w:line="280"/>
      </w:pPr>
      <w:r>
        <w:rPr>
          <w:b/>
          <w:bCs/>
          <w:color w:val="16181D"/>
          <w:sz w:val="22"/>
          <w:szCs w:val="22"/>
        </w:rPr>
        <w:t xml:space="preserve">It's current and verifiable. </w:t>
      </w:r>
      <w:r>
        <w:rPr>
          <w:color w:val="4A4F5A"/>
          <w:sz w:val="22"/>
          <w:szCs w:val="22"/>
        </w:rPr>
        <w:t xml:space="preserve">Information is drawn from live public sources, each of which is listed so any detail can be confirmed.</w:t>
      </w:r>
    </w:p>
    <w:p>
      <w:pPr>
        <w:pStyle w:val="ListParagraph"/>
        <w:numPr>
          <w:ilvl w:val="0"/>
          <w:numId w:val="2"/>
        </w:numPr>
        <w:spacing w:after="110" w:line="280"/>
      </w:pPr>
      <w:r>
        <w:rPr>
          <w:b/>
          <w:bCs/>
          <w:color w:val="16181D"/>
          <w:sz w:val="22"/>
          <w:szCs w:val="22"/>
        </w:rPr>
        <w:t xml:space="preserve">It's fast and repeatable. </w:t>
      </w:r>
      <w:r>
        <w:rPr>
          <w:color w:val="4A4F5A"/>
          <w:sz w:val="22"/>
          <w:szCs w:val="22"/>
        </w:rPr>
        <w:t xml:space="preserve">What used to take hours per company now takes about a minute, with the same quality every time.</w:t>
      </w:r>
    </w:p>
    <w:p>
      <w:pPr>
        <w:pStyle w:val="Heading1"/>
        <w:spacing w:after="140" w:before="320"/>
      </w:pPr>
      <w:r>
        <w:rPr>
          <w:b/>
          <w:bCs/>
          <w:color w:val="16181D"/>
          <w:sz w:val="30"/>
          <w:szCs w:val="30"/>
        </w:rPr>
        <w:t xml:space="preserve">The value it delivers</w:t>
      </w:r>
    </w:p>
    <w:p>
      <w:pPr>
        <w:pStyle w:val="ListParagraph"/>
        <w:numPr>
          <w:ilvl w:val="0"/>
          <w:numId w:val="2"/>
        </w:numPr>
        <w:spacing w:after="110" w:line="280"/>
      </w:pPr>
      <w:r>
        <w:rPr>
          <w:b/>
          <w:bCs/>
          <w:color w:val="16181D"/>
          <w:sz w:val="22"/>
          <w:szCs w:val="22"/>
        </w:rPr>
        <w:t xml:space="preserve">Faster preparation </w:t>
      </w:r>
      <w:r>
        <w:rPr>
          <w:color w:val="4A4F5A"/>
          <w:sz w:val="22"/>
          <w:szCs w:val="22"/>
        </w:rPr>
        <w:t xml:space="preserve">— minutes instead of hours per company frees your team for higher-value work.</w:t>
      </w:r>
    </w:p>
    <w:p>
      <w:pPr>
        <w:pStyle w:val="ListParagraph"/>
        <w:numPr>
          <w:ilvl w:val="0"/>
          <w:numId w:val="2"/>
        </w:numPr>
        <w:spacing w:after="110" w:line="280"/>
      </w:pPr>
      <w:r>
        <w:rPr>
          <w:b/>
          <w:bCs/>
          <w:color w:val="16181D"/>
          <w:sz w:val="22"/>
          <w:szCs w:val="22"/>
        </w:rPr>
        <w:t xml:space="preserve">Consistent quality </w:t>
      </w:r>
      <w:r>
        <w:rPr>
          <w:color w:val="4A4F5A"/>
          <w:sz w:val="22"/>
          <w:szCs w:val="22"/>
        </w:rPr>
        <w:t xml:space="preserve">— every briefing follows the same trusted structure, regardless of who runs it.</w:t>
      </w:r>
    </w:p>
    <w:p>
      <w:pPr>
        <w:pStyle w:val="ListParagraph"/>
        <w:numPr>
          <w:ilvl w:val="0"/>
          <w:numId w:val="2"/>
        </w:numPr>
        <w:spacing w:after="110" w:line="280"/>
      </w:pPr>
      <w:r>
        <w:rPr>
          <w:b/>
          <w:bCs/>
          <w:color w:val="16181D"/>
          <w:sz w:val="22"/>
          <w:szCs w:val="22"/>
        </w:rPr>
        <w:t xml:space="preserve">Better first meetings </w:t>
      </w:r>
      <w:r>
        <w:rPr>
          <w:color w:val="4A4F5A"/>
          <w:sz w:val="22"/>
          <w:szCs w:val="22"/>
        </w:rPr>
        <w:t xml:space="preserve">— arrive already understanding the client's business, priorities, and challenges.</w:t>
      </w:r>
    </w:p>
    <w:p>
      <w:pPr>
        <w:pStyle w:val="ListParagraph"/>
        <w:numPr>
          <w:ilvl w:val="0"/>
          <w:numId w:val="2"/>
        </w:numPr>
        <w:spacing w:after="110" w:line="280"/>
      </w:pPr>
      <w:r>
        <w:rPr>
          <w:b/>
          <w:bCs/>
          <w:color w:val="16181D"/>
          <w:sz w:val="22"/>
          <w:szCs w:val="22"/>
        </w:rPr>
        <w:t xml:space="preserve">A stronger impression </w:t>
      </w:r>
      <w:r>
        <w:rPr>
          <w:color w:val="4A4F5A"/>
          <w:sz w:val="22"/>
          <w:szCs w:val="22"/>
        </w:rPr>
        <w:t xml:space="preserve">— informed, tailored conversations build credibility with clients from the outset.</w:t>
      </w:r>
    </w:p>
    <w:p>
      <w:pPr>
        <w:pStyle w:val="ListParagraph"/>
        <w:numPr>
          <w:ilvl w:val="0"/>
          <w:numId w:val="2"/>
        </w:numPr>
        <w:spacing w:after="110" w:line="280"/>
      </w:pPr>
      <w:r>
        <w:rPr>
          <w:b/>
          <w:bCs/>
          <w:color w:val="16181D"/>
          <w:sz w:val="22"/>
          <w:szCs w:val="22"/>
        </w:rPr>
        <w:t xml:space="preserve">Accessible anywhere </w:t>
      </w:r>
      <w:r>
        <w:rPr>
          <w:color w:val="4A4F5A"/>
          <w:sz w:val="22"/>
          <w:szCs w:val="22"/>
        </w:rPr>
        <w:t xml:space="preserve">— runs in any web browser, with light and dark viewing modes.</w:t>
      </w:r>
    </w:p>
    <w:p>
      <w:pPr>
        <w:pBdr>
          <w:top w:val="single" w:color="E4E6EB" w:sz="6" w:space="8"/>
        </w:pBdr>
        <w:spacing w:before="320"/>
      </w:pPr>
      <w:r>
        <w:rPr>
          <w:i/>
          <w:iCs/>
          <w:color w:val="4A4F5A"/>
          <w:sz w:val="20"/>
          <w:szCs w:val="20"/>
        </w:rPr>
        <w:t xml:space="preserve">BMI Copilot — enter a company name, understand the business.</w:t>
      </w:r>
    </w:p>
    <w:sectPr>
      <w:pgSz w:w="12240" w:h="15840" w:orient="portrait"/>
      <w:pgMar w:top="1000" w:right="1180" w:bottom="10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D5B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6181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2026-07-24T16:21:16.454Z</dcterms:created>
  <dcterms:modified xsi:type="dcterms:W3CDTF">2026-07-24T16:21:16.454Z</dcterms:modified>
</cp:coreProperties>
</file>

<file path=docProps/custom.xml><?xml version="1.0" encoding="utf-8"?>
<Properties xmlns="http://schemas.openxmlformats.org/officeDocument/2006/custom-properties" xmlns:vt="http://schemas.openxmlformats.org/officeDocument/2006/docPropsVTypes"/>
</file>