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5B84" w14:textId="77777777" w:rsidR="00D11F94" w:rsidRPr="00D11F94" w:rsidRDefault="00D11F94" w:rsidP="00D11F94">
      <w:pPr>
        <w:pStyle w:val="1"/>
        <w:spacing w:before="0" w:line="360" w:lineRule="auto"/>
        <w:jc w:val="center"/>
        <w:rPr>
          <w:rFonts w:ascii="Arial" w:hAnsi="Arial" w:cs="Arial"/>
          <w:b w:val="0"/>
          <w:color w:val="auto"/>
        </w:rPr>
      </w:pPr>
      <w:bookmarkStart w:id="0" w:name="_Toc10669257"/>
      <w:bookmarkStart w:id="1" w:name="_Toc11682612"/>
      <w:r w:rsidRPr="00D11F94">
        <w:rPr>
          <w:rFonts w:ascii="Times New Roman" w:hAnsi="Times New Roman" w:cs="Arial"/>
          <w:b w:val="0"/>
          <w:color w:val="auto"/>
          <w:sz w:val="0"/>
        </w:rPr>
        <w:t>3. ПОЛОЖЕНИЕ ОТЕЧЕСТВЕННОГО ПРЕДПРИЯТИЯ АВТОМОБИЛЕСТРОЕНИЯ ПАО «КАМАЗ» НА ОТРАСЛЕВОМ РЫНКЕ</w:t>
      </w:r>
      <w:bookmarkEnd w:id="0"/>
      <w:bookmarkEnd w:id="1"/>
    </w:p>
    <w:p w14:paraId="3DBEC1CD" w14:textId="77777777" w:rsidR="00D11F94" w:rsidRPr="00D11F94" w:rsidRDefault="00D11F94" w:rsidP="00D11F94">
      <w:pPr>
        <w:pStyle w:val="2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b w:val="0"/>
          <w:sz w:val="28"/>
          <w:szCs w:val="28"/>
        </w:rPr>
      </w:pPr>
    </w:p>
    <w:p w14:paraId="5A1DB00F" w14:textId="77777777" w:rsidR="00D11F94" w:rsidRPr="00D11F94" w:rsidRDefault="00D11F94" w:rsidP="00D11F94">
      <w:pPr>
        <w:pStyle w:val="2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bookmarkStart w:id="2" w:name="_Toc10669258"/>
      <w:bookmarkStart w:id="3" w:name="_Toc11682613"/>
      <w:r w:rsidRPr="00D11F94">
        <w:rPr>
          <w:rFonts w:ascii="Times New Roman" w:hAnsi="Times New Roman" w:cs="Arial"/>
          <w:b w:val="0"/>
          <w:sz w:val="0"/>
          <w:szCs w:val="28"/>
        </w:rPr>
        <w:t>3.1 Предпосылки к формированию российского авторынка</w:t>
      </w:r>
      <w:bookmarkEnd w:id="2"/>
      <w:bookmarkEnd w:id="3"/>
    </w:p>
    <w:p w14:paraId="3FF82071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2D016598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11F94">
        <w:rPr>
          <w:rFonts w:ascii="Times New Roman" w:hAnsi="Times New Roman" w:cs="Arial"/>
          <w:sz w:val="0"/>
          <w:szCs w:val="28"/>
        </w:rPr>
        <w:t xml:space="preserve">После введения правительством РФ режима «промышленной сборки» он неоднократно обновлялся с целью актуализации прописанных положений, целей и задач. Сравнительные результаты старого и обновленного режима «промышленной сборки» приведены в таблице 3.1. Следует обратить внимание на то, что уровень локализации российских </w:t>
      </w:r>
      <w:r w:rsidRPr="00D11F94">
        <w:rPr>
          <w:rFonts w:ascii="Times New Roman" w:hAnsi="Times New Roman" w:cs="Arial"/>
          <w:sz w:val="0"/>
          <w:szCs w:val="28"/>
          <w:lang w:val="en-US"/>
        </w:rPr>
        <w:t>CDK</w:t>
      </w:r>
      <w:r w:rsidRPr="00D11F94">
        <w:rPr>
          <w:rFonts w:ascii="Times New Roman" w:hAnsi="Times New Roman" w:cs="Arial"/>
          <w:sz w:val="0"/>
          <w:szCs w:val="28"/>
        </w:rPr>
        <w:t xml:space="preserve">-производств не превышает 60% [3]. Этот показатель включает в себя производство таких групп компонентов как двигатель, кузов, электрика, интерьер, системы вентиляции и отопления. Более того, режим «промышленной сборки» нацелено развивал иностранных производителей и их производственные базы на территории РФ, и, следовательно, доминирующие позиции в производстве автомобилей стали занимать иностранные автомобили, в то время как производство отечественных автомобилей сокращалось. Из этого следует, что формирование добавленной стоимости продукции происходило за рубежом, ухудшая устойчивость отечественных фирм к внешним воздействиям, ограничивающим потенциал развития отрасли. В среднем объем добавленной стоимости, формируемой зарубежными производителями компонентов и поставщиками сырья и материалов, составлял </w:t>
      </w:r>
      <w:proofErr w:type="gramStart"/>
      <w:r w:rsidRPr="00D11F94">
        <w:rPr>
          <w:rFonts w:ascii="Times New Roman" w:hAnsi="Times New Roman" w:cs="Arial"/>
          <w:sz w:val="0"/>
          <w:szCs w:val="28"/>
        </w:rPr>
        <w:t>40-70</w:t>
      </w:r>
      <w:proofErr w:type="gramEnd"/>
      <w:r w:rsidRPr="00D11F94">
        <w:rPr>
          <w:rFonts w:ascii="Times New Roman" w:hAnsi="Times New Roman" w:cs="Arial"/>
          <w:sz w:val="0"/>
          <w:szCs w:val="28"/>
        </w:rPr>
        <w:t>% от общего объема добавленной стоимости [4].</w:t>
      </w:r>
    </w:p>
    <w:p w14:paraId="29A34A31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786208B2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11F94">
        <w:rPr>
          <w:rFonts w:ascii="Times New Roman" w:hAnsi="Times New Roman" w:cs="Arial"/>
          <w:sz w:val="0"/>
          <w:szCs w:val="28"/>
        </w:rPr>
        <w:t xml:space="preserve">Таблица 3.1. Сравнительные данные по условиям режима «промышленной сборки» </w:t>
      </w:r>
      <w:proofErr w:type="gramStart"/>
      <w:r w:rsidRPr="00D11F94">
        <w:rPr>
          <w:rFonts w:ascii="Times New Roman" w:hAnsi="Times New Roman" w:cs="Arial"/>
          <w:sz w:val="0"/>
          <w:szCs w:val="28"/>
        </w:rPr>
        <w:t>2005-2013</w:t>
      </w:r>
      <w:proofErr w:type="gramEnd"/>
      <w:r w:rsidRPr="00D11F94">
        <w:rPr>
          <w:rFonts w:ascii="Times New Roman" w:hAnsi="Times New Roman" w:cs="Arial"/>
          <w:sz w:val="0"/>
          <w:szCs w:val="28"/>
        </w:rPr>
        <w:t xml:space="preserve"> гг. [3].</w:t>
      </w:r>
    </w:p>
    <w:tbl>
      <w:tblPr>
        <w:tblStyle w:val="a3"/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2268"/>
        <w:gridCol w:w="1843"/>
        <w:gridCol w:w="1985"/>
      </w:tblGrid>
      <w:tr w:rsidR="00D11F94" w:rsidRPr="00D11F94" w14:paraId="4E160033" w14:textId="77777777" w:rsidTr="006A3DF7">
        <w:tc>
          <w:tcPr>
            <w:tcW w:w="1702" w:type="dxa"/>
            <w:vMerge w:val="restart"/>
          </w:tcPr>
          <w:p w14:paraId="63F49F21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Условия льготы и преференции</w:t>
            </w:r>
          </w:p>
        </w:tc>
        <w:tc>
          <w:tcPr>
            <w:tcW w:w="8080" w:type="dxa"/>
            <w:gridSpan w:val="4"/>
          </w:tcPr>
          <w:p w14:paraId="3A89A89A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Российская Федерация</w:t>
            </w:r>
          </w:p>
        </w:tc>
      </w:tr>
      <w:tr w:rsidR="00D11F94" w:rsidRPr="00D11F94" w14:paraId="451AC716" w14:textId="77777777" w:rsidTr="006A3DF7">
        <w:tc>
          <w:tcPr>
            <w:tcW w:w="1702" w:type="dxa"/>
            <w:vMerge/>
          </w:tcPr>
          <w:p w14:paraId="3D127FB7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2" w:type="dxa"/>
            <w:gridSpan w:val="2"/>
          </w:tcPr>
          <w:p w14:paraId="09BA6B7F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«Старый» режим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пром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 сборки</w:t>
            </w:r>
          </w:p>
        </w:tc>
        <w:tc>
          <w:tcPr>
            <w:tcW w:w="3828" w:type="dxa"/>
            <w:gridSpan w:val="2"/>
          </w:tcPr>
          <w:p w14:paraId="4FBA9CB6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«Новый» режим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пром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 сборки</w:t>
            </w:r>
          </w:p>
        </w:tc>
      </w:tr>
      <w:tr w:rsidR="00D11F94" w:rsidRPr="00D11F94" w14:paraId="232C3922" w14:textId="77777777" w:rsidTr="006A3DF7">
        <w:tc>
          <w:tcPr>
            <w:tcW w:w="1702" w:type="dxa"/>
            <w:vMerge/>
          </w:tcPr>
          <w:p w14:paraId="2F54701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55CAE58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Новое пр-во</w:t>
            </w:r>
          </w:p>
        </w:tc>
        <w:tc>
          <w:tcPr>
            <w:tcW w:w="2268" w:type="dxa"/>
          </w:tcPr>
          <w:p w14:paraId="5F994234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Модернизация</w:t>
            </w:r>
          </w:p>
        </w:tc>
        <w:tc>
          <w:tcPr>
            <w:tcW w:w="1843" w:type="dxa"/>
          </w:tcPr>
          <w:p w14:paraId="158DB5BC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Новое пр-во</w:t>
            </w:r>
          </w:p>
        </w:tc>
        <w:tc>
          <w:tcPr>
            <w:tcW w:w="1985" w:type="dxa"/>
          </w:tcPr>
          <w:p w14:paraId="7881B5E6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Модернизация</w:t>
            </w:r>
          </w:p>
        </w:tc>
      </w:tr>
      <w:tr w:rsidR="00D11F94" w:rsidRPr="00D11F94" w14:paraId="0C0CAB60" w14:textId="77777777" w:rsidTr="006A3DF7">
        <w:tc>
          <w:tcPr>
            <w:tcW w:w="1702" w:type="dxa"/>
          </w:tcPr>
          <w:p w14:paraId="72989B8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Мощности</w:t>
            </w:r>
          </w:p>
        </w:tc>
        <w:tc>
          <w:tcPr>
            <w:tcW w:w="1984" w:type="dxa"/>
          </w:tcPr>
          <w:p w14:paraId="639268A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25 тыс. шт. </w:t>
            </w:r>
          </w:p>
        </w:tc>
        <w:tc>
          <w:tcPr>
            <w:tcW w:w="2268" w:type="dxa"/>
          </w:tcPr>
          <w:p w14:paraId="02C5788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25 тыс. шт.</w:t>
            </w:r>
          </w:p>
        </w:tc>
        <w:tc>
          <w:tcPr>
            <w:tcW w:w="1843" w:type="dxa"/>
          </w:tcPr>
          <w:p w14:paraId="6CAEA7A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300 тыс. шт.</w:t>
            </w:r>
          </w:p>
        </w:tc>
        <w:tc>
          <w:tcPr>
            <w:tcW w:w="1985" w:type="dxa"/>
          </w:tcPr>
          <w:p w14:paraId="03631AED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350 тыс. шт.</w:t>
            </w:r>
          </w:p>
        </w:tc>
      </w:tr>
    </w:tbl>
    <w:p w14:paraId="5D173AF8" w14:textId="77777777" w:rsidR="00D11F94" w:rsidRPr="00D11F94" w:rsidRDefault="00D11F94" w:rsidP="00D11F94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5F3E25AB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11F94">
        <w:rPr>
          <w:rFonts w:ascii="Times New Roman" w:hAnsi="Times New Roman" w:cs="Arial"/>
          <w:sz w:val="0"/>
          <w:szCs w:val="28"/>
        </w:rPr>
        <w:t>Продолжение таблицы 3.1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5"/>
        <w:gridCol w:w="1886"/>
        <w:gridCol w:w="1833"/>
        <w:gridCol w:w="1761"/>
        <w:gridCol w:w="1570"/>
      </w:tblGrid>
      <w:tr w:rsidR="00D11F94" w:rsidRPr="00D11F94" w14:paraId="6A2AEB40" w14:textId="77777777" w:rsidTr="006A3DF7">
        <w:tc>
          <w:tcPr>
            <w:tcW w:w="2047" w:type="dxa"/>
          </w:tcPr>
          <w:p w14:paraId="6E37E856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Срок действия соглашения</w:t>
            </w:r>
          </w:p>
        </w:tc>
        <w:tc>
          <w:tcPr>
            <w:tcW w:w="3883" w:type="dxa"/>
            <w:gridSpan w:val="2"/>
          </w:tcPr>
          <w:p w14:paraId="71D9159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От 7 до 8 лет в зависимости от обязательств по сроку организации на предприятии сварки, окраски и сборки кузова</w:t>
            </w:r>
          </w:p>
        </w:tc>
        <w:tc>
          <w:tcPr>
            <w:tcW w:w="3641" w:type="dxa"/>
            <w:gridSpan w:val="2"/>
          </w:tcPr>
          <w:p w14:paraId="301D2BED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Соглашение продлевается на срок до 8 лет (но не позднее 31 декабря 2020 года)</w:t>
            </w:r>
          </w:p>
        </w:tc>
      </w:tr>
      <w:tr w:rsidR="00D11F94" w:rsidRPr="00D11F94" w14:paraId="2917973C" w14:textId="77777777" w:rsidTr="006A3DF7">
        <w:tc>
          <w:tcPr>
            <w:tcW w:w="2047" w:type="dxa"/>
          </w:tcPr>
          <w:p w14:paraId="0B8FF36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Длительность SKD-производства</w:t>
            </w:r>
          </w:p>
        </w:tc>
        <w:tc>
          <w:tcPr>
            <w:tcW w:w="1988" w:type="dxa"/>
          </w:tcPr>
          <w:p w14:paraId="2C78B71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На 30 месяцев </w:t>
            </w:r>
          </w:p>
        </w:tc>
        <w:tc>
          <w:tcPr>
            <w:tcW w:w="1895" w:type="dxa"/>
          </w:tcPr>
          <w:p w14:paraId="2E15BC7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На 18 месяцев</w:t>
            </w:r>
          </w:p>
        </w:tc>
        <w:tc>
          <w:tcPr>
            <w:tcW w:w="1820" w:type="dxa"/>
          </w:tcPr>
          <w:p w14:paraId="12EAD38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На 48 месяцев, не более 5% (через 36 месяцев запрещается ввоз кузовов)</w:t>
            </w:r>
          </w:p>
        </w:tc>
        <w:tc>
          <w:tcPr>
            <w:tcW w:w="1821" w:type="dxa"/>
          </w:tcPr>
          <w:p w14:paraId="55C2B14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На 36 месяцев, не более 5% </w:t>
            </w: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от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а год от объема</w:t>
            </w:r>
          </w:p>
        </w:tc>
      </w:tr>
      <w:tr w:rsidR="00D11F94" w:rsidRPr="00D11F94" w14:paraId="7B66CDED" w14:textId="77777777" w:rsidTr="006A3DF7">
        <w:tc>
          <w:tcPr>
            <w:tcW w:w="2047" w:type="dxa"/>
            <w:vMerge w:val="restart"/>
          </w:tcPr>
          <w:p w14:paraId="0911933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Уровень</w:t>
            </w:r>
          </w:p>
          <w:p w14:paraId="024A7F1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локализации</w:t>
            </w:r>
          </w:p>
        </w:tc>
        <w:tc>
          <w:tcPr>
            <w:tcW w:w="1988" w:type="dxa"/>
          </w:tcPr>
          <w:p w14:paraId="7EF9D5A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24 мес. после начала CKD-производства –10%</w:t>
            </w:r>
          </w:p>
        </w:tc>
        <w:tc>
          <w:tcPr>
            <w:tcW w:w="1895" w:type="dxa"/>
          </w:tcPr>
          <w:p w14:paraId="5186CBD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24 мес. после начала CKD-производства –10%</w:t>
            </w:r>
          </w:p>
        </w:tc>
        <w:tc>
          <w:tcPr>
            <w:tcW w:w="1820" w:type="dxa"/>
          </w:tcPr>
          <w:p w14:paraId="3B46522B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14:paraId="13CB006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1-ый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35%</w:t>
            </w:r>
          </w:p>
          <w:p w14:paraId="6DDB65E1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2-ый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40%</w:t>
            </w:r>
          </w:p>
          <w:p w14:paraId="14E0494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3-ый календ. год – 45%</w:t>
            </w:r>
          </w:p>
        </w:tc>
      </w:tr>
      <w:tr w:rsidR="00D11F94" w:rsidRPr="00D11F94" w14:paraId="68961C70" w14:textId="77777777" w:rsidTr="006A3DF7">
        <w:tc>
          <w:tcPr>
            <w:tcW w:w="2047" w:type="dxa"/>
            <w:vMerge/>
          </w:tcPr>
          <w:p w14:paraId="31F6E75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</w:tcPr>
          <w:p w14:paraId="68160AA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42 мес. после начала CKD-производства –20%</w:t>
            </w:r>
          </w:p>
        </w:tc>
        <w:tc>
          <w:tcPr>
            <w:tcW w:w="1895" w:type="dxa"/>
          </w:tcPr>
          <w:p w14:paraId="30A4D51C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42 мес. после начала CKD-производства –20%</w:t>
            </w:r>
          </w:p>
        </w:tc>
        <w:tc>
          <w:tcPr>
            <w:tcW w:w="1820" w:type="dxa"/>
          </w:tcPr>
          <w:p w14:paraId="3E905E7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14:paraId="438536D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F94" w:rsidRPr="00D11F94" w14:paraId="082D7BDD" w14:textId="77777777" w:rsidTr="006A3DF7">
        <w:tc>
          <w:tcPr>
            <w:tcW w:w="2047" w:type="dxa"/>
            <w:vMerge/>
            <w:vAlign w:val="center"/>
          </w:tcPr>
          <w:p w14:paraId="61CDED5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</w:tcPr>
          <w:p w14:paraId="34164D9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54 мес. после начала CKD-производства –30%</w:t>
            </w:r>
          </w:p>
        </w:tc>
        <w:tc>
          <w:tcPr>
            <w:tcW w:w="1895" w:type="dxa"/>
          </w:tcPr>
          <w:p w14:paraId="56AA60E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54 мес. после начала CKD-производства –30%</w:t>
            </w:r>
          </w:p>
        </w:tc>
        <w:tc>
          <w:tcPr>
            <w:tcW w:w="1820" w:type="dxa"/>
          </w:tcPr>
          <w:p w14:paraId="61557F9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4-ый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30%</w:t>
            </w:r>
          </w:p>
          <w:p w14:paraId="280C009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5-ый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40%</w:t>
            </w:r>
          </w:p>
          <w:p w14:paraId="6F7EB688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6-ый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60%</w:t>
            </w:r>
          </w:p>
        </w:tc>
        <w:tc>
          <w:tcPr>
            <w:tcW w:w="1821" w:type="dxa"/>
          </w:tcPr>
          <w:p w14:paraId="6B2D62E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4-ый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50%</w:t>
            </w:r>
          </w:p>
          <w:p w14:paraId="473866E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5-ый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55%</w:t>
            </w:r>
          </w:p>
          <w:p w14:paraId="59CF7E4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6-ый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60%</w:t>
            </w:r>
          </w:p>
        </w:tc>
      </w:tr>
      <w:tr w:rsidR="00D11F94" w:rsidRPr="00D11F94" w14:paraId="74FF568F" w14:textId="77777777" w:rsidTr="006A3DF7">
        <w:tc>
          <w:tcPr>
            <w:tcW w:w="2047" w:type="dxa"/>
          </w:tcPr>
          <w:p w14:paraId="53F5749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Создание производства двигателей/КПП</w:t>
            </w:r>
          </w:p>
        </w:tc>
        <w:tc>
          <w:tcPr>
            <w:tcW w:w="3883" w:type="dxa"/>
            <w:gridSpan w:val="2"/>
          </w:tcPr>
          <w:p w14:paraId="0A87DF77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19949AB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Обязательная установка на 30% производимых автомобилей двигателей и/или КПП (но не менее чем на 200 тыс. при объеме производства более 1 </w:t>
            </w: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млн.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а/м в год)</w:t>
            </w:r>
          </w:p>
        </w:tc>
      </w:tr>
      <w:tr w:rsidR="00D11F94" w:rsidRPr="00D11F94" w14:paraId="0AAAFDC2" w14:textId="77777777" w:rsidTr="006A3DF7">
        <w:tc>
          <w:tcPr>
            <w:tcW w:w="2047" w:type="dxa"/>
          </w:tcPr>
          <w:p w14:paraId="02A8992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Создание центра НИОКР</w:t>
            </w:r>
          </w:p>
        </w:tc>
        <w:tc>
          <w:tcPr>
            <w:tcW w:w="3883" w:type="dxa"/>
            <w:gridSpan w:val="2"/>
          </w:tcPr>
          <w:p w14:paraId="190706C4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3D9B522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 позднее чем через 48 месяцев с даты вступления доп. соглашения в силу</w:t>
            </w:r>
          </w:p>
        </w:tc>
      </w:tr>
      <w:tr w:rsidR="00D11F94" w:rsidRPr="00D11F94" w14:paraId="65CFC992" w14:textId="77777777" w:rsidTr="006A3DF7">
        <w:tc>
          <w:tcPr>
            <w:tcW w:w="2047" w:type="dxa"/>
          </w:tcPr>
          <w:p w14:paraId="5CD5A45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Орг. штамповочных операций, вкл. пр-во штамп, деталей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куз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883" w:type="dxa"/>
            <w:gridSpan w:val="2"/>
          </w:tcPr>
          <w:p w14:paraId="0B0D6AAE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1CC251FB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 позднее чем через 48 месяцев с даты вступления доп. соглашения в силу</w:t>
            </w:r>
          </w:p>
        </w:tc>
      </w:tr>
      <w:tr w:rsidR="00D11F94" w:rsidRPr="00D11F94" w14:paraId="6A18C823" w14:textId="77777777" w:rsidTr="006A3DF7">
        <w:tc>
          <w:tcPr>
            <w:tcW w:w="2047" w:type="dxa"/>
          </w:tcPr>
          <w:p w14:paraId="6F74D98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Предоставляемые льготы и преференции</w:t>
            </w:r>
          </w:p>
        </w:tc>
        <w:tc>
          <w:tcPr>
            <w:tcW w:w="7524" w:type="dxa"/>
            <w:gridSpan w:val="4"/>
          </w:tcPr>
          <w:p w14:paraId="70C9002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Снижение таможенных пошлин на автокомпоненты, ввозимые для промышленной сборки моторных транспортных средств.</w:t>
            </w:r>
          </w:p>
        </w:tc>
      </w:tr>
    </w:tbl>
    <w:p w14:paraId="2289C7EB" w14:textId="77777777" w:rsidR="007B2566" w:rsidRPr="00D11F94" w:rsidRDefault="007B2566">
      <w:pPr>
        <w:spacing w:line="360" w:lineRule="auto"/>
        <w:rPr>
          <w:rFonts w:ascii="Arial" w:hAnsi="Arial" w:cs="Arial"/>
        </w:rPr>
      </w:pPr>
    </w:p>
    <w:sectPr w:rsidR="007B2566" w:rsidRPr="00D11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94"/>
    <w:rsid w:val="00407760"/>
    <w:rsid w:val="007B2566"/>
    <w:rsid w:val="00D1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0565"/>
  <w15:chartTrackingRefBased/>
  <w15:docId w15:val="{E5479F42-508D-B34F-86E8-38E10B93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F94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1F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11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F9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1F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59"/>
    <w:rsid w:val="00D11F94"/>
    <w:rPr>
      <w:rFonts w:eastAsiaTheme="minorEastAsia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Пышков Никита Игоревич</dc:creator>
  <cp:keywords/>
  <dc:description/>
  <cp:lastModifiedBy>Пышков Никита Игоревич</cp:lastModifiedBy>
  <cp:revision>1</cp:revision>
  <dcterms:created xsi:type="dcterms:W3CDTF">2022-12-25T17:28:00Z</dcterms:created>
  <dcterms:modified xsi:type="dcterms:W3CDTF">2022-12-25T17:28:00Z</dcterms:modified>
</cp:coreProperties>
</file>