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学前大课堂继续教育学时证明：计时口径与证明格式确认表</w:t>
      </w:r>
    </w:p>
    <w:p>
      <w:pPr>
        <w:pStyle w:val="Subtitle"/>
      </w:pPr>
      <w:r>
        <w:t xml:space="preserve">致：柳州市教育局　柳州市教师发展中心</w:t>
      </w:r>
    </w:p>
    <w:p>
      <w:pPr>
        <w:pStyle w:val="Date"/>
      </w:pPr>
      <w:r>
        <w:t xml:space="preserve">学前大课堂运营方　｜　2026</w:t>
      </w:r>
      <w:r>
        <w:t xml:space="preserve"> </w:t>
      </w:r>
      <w:r>
        <w:t xml:space="preserve">年</w:t>
      </w:r>
      <w:r>
        <w:t xml:space="preserve"> </w:t>
      </w:r>
      <w:r>
        <w:t xml:space="preserve">10</w:t>
      </w:r>
      <w:r>
        <w:t xml:space="preserve"> </w:t>
      </w:r>
      <w:r>
        <w:t xml:space="preserve">月</w:t>
      </w:r>
    </w:p>
    <w:p>
      <w:r>
        <w:br w:type="page"/>
      </w:r>
    </w:p>
    <w:bookmarkStart w:id="20" w:name="一事项"/>
    <w:p>
      <w:pPr>
        <w:pStyle w:val="Heading1"/>
      </w:pPr>
      <w:r>
        <w:t xml:space="preserve">一、事项</w:t>
      </w:r>
    </w:p>
    <w:p>
      <w:pPr>
        <w:pStyle w:val="FirstParagraph"/>
      </w:pPr>
      <w:r>
        <w:t xml:space="preserve">学前大课堂已能为每位教师出具继续教育学时证明。证明的计时口径与版式均为平台的可配置项，不需改程序。请局里对下列两张表逐项确认或改写，运营方在管理端一次填入，当日生效。</w:t>
      </w:r>
    </w:p>
    <w:p>
      <w:pPr>
        <w:pStyle w:val="BodyText"/>
      </w:pPr>
      <w:r>
        <w:t xml:space="preserve">平台只记录教师本人的学习行为：通过的关卡、通过点评的实践作品、研讨作答、认证答辩、研修项目。不记录幼儿信息，不记录在线时长，证明上不出现测验分数。</w:t>
      </w:r>
    </w:p>
    <w:bookmarkEnd w:id="20"/>
    <w:bookmarkStart w:id="21" w:name="二计时口径"/>
    <w:p>
      <w:pPr>
        <w:pStyle w:val="Heading1"/>
      </w:pPr>
      <w:r>
        <w:t xml:space="preserve">二、计时口径</w:t>
      </w:r>
    </w:p>
    <w:p>
      <w:pPr>
        <w:pStyle w:val="FirstParagraph"/>
      </w:pPr>
      <w:r>
        <w:t xml:space="preserve">下表「平台默认」为现行取值；请在「市里口径」一栏填写确认值，与默认一致的写「同」。</w:t>
      </w:r>
    </w:p>
    <w:tbl>
      <w:tblPr>
        <w:tblStyle w:val="Table"/>
        <w:tblW w:type="pct" w:w="5000.0"/>
        <w:tblLayout w:type="fixed"/>
        <w:tblLook w:firstRow="1" w:lastRow="0" w:firstColumn="0" w:lastColumn="0" w:noHBand="0" w:noVBand="0" w:val="0020"/>
      </w:tblPr>
      <w:tblGrid>
        <w:gridCol w:w="1579"/>
        <w:gridCol w:w="1895"/>
        <w:gridCol w:w="3790"/>
        <w:gridCol w:w="1579"/>
      </w:tblGrid>
      <w:tr>
        <w:tc>
          <w:tcPr>
            <w:tcW w:w="1579" w:type="dxa"/>
          </w:tcPr>
          <w:p>
            <w:pPr>
              <w:pStyle w:val="TableText"/>
              <w:jc w:val="left"/>
            </w:pPr>
            <w:r>
              <w:t xml:space="preserve">项目</w:t>
            </w:r>
          </w:p>
        </w:tc>
        <w:tc>
          <w:tcPr>
            <w:tcW w:w="1895" w:type="dxa"/>
          </w:tcPr>
          <w:p>
            <w:pPr>
              <w:pStyle w:val="TableText"/>
              <w:jc w:val="left"/>
            </w:pPr>
            <w:r>
              <w:t xml:space="preserve">平台默认</w:t>
            </w:r>
          </w:p>
        </w:tc>
        <w:tc>
          <w:tcPr>
            <w:tcW w:w="3790" w:type="dxa"/>
          </w:tcPr>
          <w:p>
            <w:pPr>
              <w:pStyle w:val="TableText"/>
              <w:jc w:val="left"/>
            </w:pPr>
            <w:r>
              <w:t xml:space="preserve">说明</w:t>
            </w:r>
          </w:p>
        </w:tc>
        <w:tc>
          <w:tcPr>
            <w:tcW w:w="1579" w:type="dxa"/>
          </w:tcPr>
          <w:p>
            <w:pPr>
              <w:pStyle w:val="TableText"/>
              <w:jc w:val="left"/>
            </w:pPr>
            <w:r>
              <w:t xml:space="preserve">市里口径</w:t>
            </w:r>
          </w:p>
        </w:tc>
      </w:tr>
      <w:tr>
        <w:tc>
          <w:tcPr>
            <w:tcW w:w="1579" w:type="dxa"/>
          </w:tcPr>
          <w:p>
            <w:pPr>
              <w:pStyle w:val="TableText"/>
              <w:jc w:val="left"/>
            </w:pPr>
            <w:r>
              <w:t xml:space="preserve">学时折算</w:t>
            </w:r>
          </w:p>
        </w:tc>
        <w:tc>
          <w:tcPr>
            <w:tcW w:w="1895" w:type="dxa"/>
          </w:tcPr>
          <w:p>
            <w:pPr>
              <w:pStyle w:val="TableText"/>
              <w:jc w:val="left"/>
            </w:pPr>
            <w:r>
              <w:t xml:space="preserve">每 45 分钟折 1 学时</w:t>
            </w:r>
          </w:p>
        </w:tc>
        <w:tc>
          <w:tcPr>
            <w:tcW w:w="3790" w:type="dxa"/>
          </w:tcPr>
          <w:p>
            <w:pPr>
              <w:pStyle w:val="TableText"/>
              <w:jc w:val="left"/>
            </w:pPr>
            <w:r>
              <w:t xml:space="preserve">可改为 40、50、60 分钟等</w:t>
            </w:r>
          </w:p>
        </w:tc>
        <w:tc>
          <w:tcPr>
            <w:tcW w:w="1579" w:type="dxa"/>
          </w:tcPr>
          <w:p/>
          <w:pPr>
            <w:pStyle w:val="TableText"/>
          </w:pPr>
        </w:tc>
      </w:tr>
      <w:tr>
        <w:tc>
          <w:tcPr>
            <w:tcW w:w="1579" w:type="dxa"/>
          </w:tcPr>
          <w:p>
            <w:pPr>
              <w:pStyle w:val="TableText"/>
              <w:jc w:val="left"/>
            </w:pPr>
            <w:r>
              <w:t xml:space="preserve">工具关</w:t>
            </w:r>
          </w:p>
        </w:tc>
        <w:tc>
          <w:tcPr>
            <w:tcW w:w="1895" w:type="dxa"/>
          </w:tcPr>
          <w:p>
            <w:pPr>
              <w:pStyle w:val="TableText"/>
              <w:jc w:val="left"/>
            </w:pPr>
            <w:r>
              <w:t xml:space="preserve">按关卡标定时长计</w:t>
            </w:r>
          </w:p>
        </w:tc>
        <w:tc>
          <w:tcPr>
            <w:tcW w:w="3790" w:type="dxa"/>
          </w:tcPr>
          <w:p>
            <w:pPr>
              <w:pStyle w:val="TableText"/>
              <w:jc w:val="left"/>
            </w:pPr>
            <w:r>
              <w:t xml:space="preserve">每关 3 至 8 分钟，课程包内标定</w:t>
            </w:r>
          </w:p>
        </w:tc>
        <w:tc>
          <w:tcPr>
            <w:tcW w:w="1579" w:type="dxa"/>
          </w:tcPr>
          <w:p/>
          <w:pPr>
            <w:pStyle w:val="TableText"/>
          </w:pPr>
        </w:tc>
      </w:tr>
      <w:tr>
        <w:tc>
          <w:tcPr>
            <w:tcW w:w="1579" w:type="dxa"/>
          </w:tcPr>
          <w:p>
            <w:pPr>
              <w:pStyle w:val="TableText"/>
              <w:jc w:val="left"/>
            </w:pPr>
            <w:r>
              <w:t xml:space="preserve">实践关</w:t>
            </w:r>
          </w:p>
        </w:tc>
        <w:tc>
          <w:tcPr>
            <w:tcW w:w="1895" w:type="dxa"/>
          </w:tcPr>
          <w:p>
            <w:pPr>
              <w:pStyle w:val="TableText"/>
              <w:jc w:val="left"/>
            </w:pPr>
            <w:r>
              <w:t xml:space="preserve">关卡时长另加 60 分钟</w:t>
            </w:r>
          </w:p>
        </w:tc>
        <w:tc>
          <w:tcPr>
            <w:tcW w:w="3790" w:type="dxa"/>
          </w:tcPr>
          <w:p>
            <w:pPr>
              <w:pStyle w:val="TableText"/>
              <w:jc w:val="left"/>
            </w:pPr>
            <w:r>
              <w:t xml:space="preserve">作品通过点评方计，退回修改不计</w:t>
            </w:r>
          </w:p>
        </w:tc>
        <w:tc>
          <w:tcPr>
            <w:tcW w:w="1579" w:type="dxa"/>
          </w:tcPr>
          <w:p/>
          <w:pPr>
            <w:pStyle w:val="TableText"/>
          </w:pPr>
        </w:tc>
      </w:tr>
      <w:tr>
        <w:tc>
          <w:tcPr>
            <w:tcW w:w="1579" w:type="dxa"/>
          </w:tcPr>
          <w:p>
            <w:pPr>
              <w:pStyle w:val="TableText"/>
              <w:jc w:val="left"/>
            </w:pPr>
            <w:r>
              <w:t xml:space="preserve">研讨关</w:t>
            </w:r>
          </w:p>
        </w:tc>
        <w:tc>
          <w:tcPr>
            <w:tcW w:w="1895" w:type="dxa"/>
          </w:tcPr>
          <w:p>
            <w:pPr>
              <w:pStyle w:val="TableText"/>
              <w:jc w:val="left"/>
            </w:pPr>
            <w:r>
              <w:t xml:space="preserve">关卡时长另加 30 分钟</w:t>
            </w:r>
          </w:p>
        </w:tc>
        <w:tc>
          <w:tcPr>
            <w:tcW w:w="3790" w:type="dxa"/>
          </w:tcPr>
          <w:p>
            <w:pPr>
              <w:pStyle w:val="TableText"/>
              <w:jc w:val="left"/>
            </w:pPr>
            <w:r>
              <w:t xml:space="preserve">提交作答即计</w:t>
            </w:r>
          </w:p>
        </w:tc>
        <w:tc>
          <w:tcPr>
            <w:tcW w:w="1579" w:type="dxa"/>
          </w:tcPr>
          <w:p/>
          <w:pPr>
            <w:pStyle w:val="TableText"/>
          </w:pPr>
        </w:tc>
      </w:tr>
      <w:tr>
        <w:tc>
          <w:tcPr>
            <w:tcW w:w="1579" w:type="dxa"/>
          </w:tcPr>
          <w:p>
            <w:pPr>
              <w:pStyle w:val="TableText"/>
              <w:jc w:val="left"/>
            </w:pPr>
            <w:r>
              <w:t xml:space="preserve">骨干教师认证</w:t>
            </w:r>
          </w:p>
        </w:tc>
        <w:tc>
          <w:tcPr>
            <w:tcW w:w="1895" w:type="dxa"/>
          </w:tcPr>
          <w:p>
            <w:pPr>
              <w:pStyle w:val="TableText"/>
              <w:jc w:val="left"/>
            </w:pPr>
            <w:r>
              <w:t xml:space="preserve">答辩通过加 240 分钟</w:t>
            </w:r>
          </w:p>
        </w:tc>
        <w:tc>
          <w:tcPr>
            <w:tcW w:w="3790" w:type="dxa"/>
          </w:tcPr>
          <w:p>
            <w:pPr>
              <w:pStyle w:val="TableText"/>
              <w:jc w:val="left"/>
            </w:pPr>
            <w:r>
              <w:t xml:space="preserve">一次认证计一次</w:t>
            </w:r>
          </w:p>
        </w:tc>
        <w:tc>
          <w:tcPr>
            <w:tcW w:w="1579" w:type="dxa"/>
          </w:tcPr>
          <w:p/>
          <w:pPr>
            <w:pStyle w:val="TableText"/>
          </w:pPr>
        </w:tc>
      </w:tr>
      <w:tr>
        <w:tc>
          <w:tcPr>
            <w:tcW w:w="1579" w:type="dxa"/>
          </w:tcPr>
          <w:p>
            <w:pPr>
              <w:pStyle w:val="TableText"/>
              <w:jc w:val="left"/>
            </w:pPr>
            <w:r>
              <w:t xml:space="preserve">研修项目</w:t>
            </w:r>
          </w:p>
        </w:tc>
        <w:tc>
          <w:tcPr>
            <w:tcW w:w="1895" w:type="dxa"/>
          </w:tcPr>
          <w:p>
            <w:pPr>
              <w:pStyle w:val="TableText"/>
              <w:jc w:val="left"/>
            </w:pPr>
            <w:r>
              <w:t xml:space="preserve">按期次核定学时计</w:t>
            </w:r>
          </w:p>
        </w:tc>
        <w:tc>
          <w:tcPr>
            <w:tcW w:w="3790" w:type="dxa"/>
          </w:tcPr>
          <w:p>
            <w:pPr>
              <w:pStyle w:val="TableText"/>
              <w:jc w:val="left"/>
            </w:pPr>
            <w:r>
              <w:t xml:space="preserve">寒暑假研修、园长研修等，完成方计</w:t>
            </w:r>
          </w:p>
        </w:tc>
        <w:tc>
          <w:tcPr>
            <w:tcW w:w="1579" w:type="dxa"/>
          </w:tcPr>
          <w:p/>
          <w:pPr>
            <w:pStyle w:val="TableText"/>
          </w:pPr>
        </w:tc>
      </w:tr>
      <w:tr>
        <w:tc>
          <w:tcPr>
            <w:tcW w:w="1579" w:type="dxa"/>
          </w:tcPr>
          <w:p>
            <w:pPr>
              <w:pStyle w:val="TableText"/>
              <w:jc w:val="left"/>
            </w:pPr>
            <w:r>
              <w:t xml:space="preserve">园长大讲堂</w:t>
            </w:r>
          </w:p>
        </w:tc>
        <w:tc>
          <w:tcPr>
            <w:tcW w:w="1895" w:type="dxa"/>
          </w:tcPr>
          <w:p>
            <w:pPr>
              <w:pStyle w:val="TableText"/>
              <w:jc w:val="left"/>
            </w:pPr>
            <w:r>
              <w:t xml:space="preserve">不计</w:t>
            </w:r>
          </w:p>
        </w:tc>
        <w:tc>
          <w:tcPr>
            <w:tcW w:w="3790" w:type="dxa"/>
          </w:tcPr>
          <w:p>
            <w:pPr>
              <w:pStyle w:val="TableText"/>
              <w:jc w:val="left"/>
            </w:pPr>
            <w:r>
              <w:t xml:space="preserve">线上无到场记录；若市里认可预约且开播即计，可改为计</w:t>
            </w:r>
          </w:p>
        </w:tc>
        <w:tc>
          <w:tcPr>
            <w:tcW w:w="1579" w:type="dxa"/>
          </w:tcPr>
          <w:p/>
          <w:pPr>
            <w:pStyle w:val="TableText"/>
          </w:pPr>
        </w:tc>
      </w:tr>
      <w:tr>
        <w:tc>
          <w:tcPr>
            <w:tcW w:w="1579" w:type="dxa"/>
          </w:tcPr>
          <w:p>
            <w:pPr>
              <w:pStyle w:val="TableText"/>
              <w:jc w:val="left"/>
            </w:pPr>
            <w:r>
              <w:t xml:space="preserve">取整</w:t>
            </w:r>
          </w:p>
        </w:tc>
        <w:tc>
          <w:tcPr>
            <w:tcW w:w="1895" w:type="dxa"/>
          </w:tcPr>
          <w:p>
            <w:pPr>
              <w:pStyle w:val="TableText"/>
              <w:jc w:val="left"/>
            </w:pPr>
            <w:r>
              <w:t xml:space="preserve">按 0.5 学时向下取整</w:t>
            </w:r>
          </w:p>
        </w:tc>
        <w:tc>
          <w:tcPr>
            <w:tcW w:w="3790" w:type="dxa"/>
          </w:tcPr>
          <w:p>
            <w:pPr>
              <w:pStyle w:val="TableText"/>
              <w:jc w:val="left"/>
            </w:pPr>
            <w:r>
              <w:t xml:space="preserve">可改为 0.25 或 1</w:t>
            </w:r>
          </w:p>
        </w:tc>
        <w:tc>
          <w:tcPr>
            <w:tcW w:w="1579" w:type="dxa"/>
          </w:tcPr>
          <w:p/>
          <w:pPr>
            <w:pStyle w:val="TableText"/>
          </w:pPr>
        </w:tc>
      </w:tr>
      <w:tr>
        <w:tc>
          <w:tcPr>
            <w:tcW w:w="1579" w:type="dxa"/>
          </w:tcPr>
          <w:p>
            <w:pPr>
              <w:pStyle w:val="TableText"/>
              <w:jc w:val="left"/>
            </w:pPr>
            <w:r>
              <w:t xml:space="preserve">统计区间</w:t>
            </w:r>
          </w:p>
        </w:tc>
        <w:tc>
          <w:tcPr>
            <w:tcW w:w="1895" w:type="dxa"/>
          </w:tcPr>
          <w:p>
            <w:pPr>
              <w:pStyle w:val="TableText"/>
              <w:jc w:val="left"/>
            </w:pPr>
            <w:r>
              <w:t xml:space="preserve">学年，9 月 1 日至次年 8 月 31 日</w:t>
            </w:r>
          </w:p>
        </w:tc>
        <w:tc>
          <w:tcPr>
            <w:tcW w:w="3790" w:type="dxa"/>
          </w:tcPr>
          <w:p>
            <w:pPr>
              <w:pStyle w:val="TableText"/>
              <w:jc w:val="left"/>
            </w:pPr>
            <w:r>
              <w:t xml:space="preserve">亦可按自然年或任意区间出具</w:t>
            </w:r>
          </w:p>
        </w:tc>
        <w:tc>
          <w:tcPr>
            <w:tcW w:w="1579" w:type="dxa"/>
          </w:tcPr>
          <w:p/>
          <w:pPr>
            <w:pStyle w:val="TableText"/>
          </w:pPr>
        </w:tc>
      </w:tr>
      <w:tr>
        <w:tc>
          <w:tcPr>
            <w:tcW w:w="1579" w:type="dxa"/>
          </w:tcPr>
          <w:p>
            <w:pPr>
              <w:pStyle w:val="TableText"/>
              <w:jc w:val="left"/>
            </w:pPr>
            <w:r>
              <w:t xml:space="preserve">年度上限</w:t>
            </w:r>
          </w:p>
        </w:tc>
        <w:tc>
          <w:tcPr>
            <w:tcW w:w="1895" w:type="dxa"/>
          </w:tcPr>
          <w:p>
            <w:pPr>
              <w:pStyle w:val="TableText"/>
              <w:jc w:val="left"/>
            </w:pPr>
            <w:r>
              <w:t xml:space="preserve">不设</w:t>
            </w:r>
          </w:p>
        </w:tc>
        <w:tc>
          <w:tcPr>
            <w:tcW w:w="3790" w:type="dxa"/>
          </w:tcPr>
          <w:p>
            <w:pPr>
              <w:pStyle w:val="TableText"/>
              <w:jc w:val="left"/>
            </w:pPr>
            <w:r>
              <w:t xml:space="preserve">若市里对线上学时设年度上限，请明示数值</w:t>
            </w:r>
          </w:p>
        </w:tc>
        <w:tc>
          <w:tcPr>
            <w:tcW w:w="1579" w:type="dxa"/>
          </w:tcPr>
          <w:p/>
          <w:pPr>
            <w:pStyle w:val="TableText"/>
          </w:pPr>
        </w:tc>
      </w:tr>
    </w:tbl>
    <w:bookmarkEnd w:id="21"/>
    <w:bookmarkStart w:id="22" w:name="三证明格式"/>
    <w:p>
      <w:pPr>
        <w:pStyle w:val="Heading1"/>
      </w:pPr>
      <w:r>
        <w:t xml:space="preserve">三、证明格式</w:t>
      </w:r>
    </w:p>
    <w:tbl>
      <w:tblPr>
        <w:tblStyle w:val="Table"/>
        <w:tblW w:type="pct" w:w="4999.999999999999"/>
        <w:tblLayout w:type="fixed"/>
        <w:tblLook w:firstRow="1" w:lastRow="0" w:firstColumn="0" w:lastColumn="0" w:noHBand="0" w:noVBand="0" w:val="0020"/>
      </w:tblPr>
      <w:tblGrid>
        <w:gridCol w:w="1922"/>
        <w:gridCol w:w="5000"/>
        <w:gridCol w:w="1922"/>
      </w:tblGrid>
      <w:tr>
        <w:tc>
          <w:tcPr>
            <w:tcW w:w="1922" w:type="dxa"/>
          </w:tcPr>
          <w:p>
            <w:pPr>
              <w:pStyle w:val="TableText"/>
              <w:jc w:val="left"/>
            </w:pPr>
            <w:r>
              <w:t xml:space="preserve">项目</w:t>
            </w:r>
          </w:p>
        </w:tc>
        <w:tc>
          <w:tcPr>
            <w:tcW w:w="5000" w:type="dxa"/>
          </w:tcPr>
          <w:p>
            <w:pPr>
              <w:pStyle w:val="TableText"/>
              <w:jc w:val="left"/>
            </w:pPr>
            <w:r>
              <w:t xml:space="preserve">平台默认</w:t>
            </w:r>
          </w:p>
        </w:tc>
        <w:tc>
          <w:tcPr>
            <w:tcW w:w="1922" w:type="dxa"/>
          </w:tcPr>
          <w:p>
            <w:pPr>
              <w:pStyle w:val="TableText"/>
              <w:jc w:val="left"/>
            </w:pPr>
            <w:r>
              <w:t xml:space="preserve">市里口径</w:t>
            </w:r>
          </w:p>
        </w:tc>
      </w:tr>
      <w:tr>
        <w:tc>
          <w:tcPr>
            <w:tcW w:w="1922" w:type="dxa"/>
          </w:tcPr>
          <w:p>
            <w:pPr>
              <w:pStyle w:val="TableText"/>
              <w:jc w:val="left"/>
            </w:pPr>
            <w:r>
              <w:t xml:space="preserve">证明标题</w:t>
            </w:r>
          </w:p>
        </w:tc>
        <w:tc>
          <w:tcPr>
            <w:tcW w:w="5000" w:type="dxa"/>
          </w:tcPr>
          <w:p>
            <w:pPr>
              <w:pStyle w:val="TableText"/>
              <w:jc w:val="left"/>
            </w:pPr>
            <w:r>
              <w:t xml:space="preserve">继续教育学时证明</w:t>
            </w:r>
          </w:p>
        </w:tc>
        <w:tc>
          <w:tcPr>
            <w:tcW w:w="1922" w:type="dxa"/>
          </w:tcPr>
          <w:p/>
          <w:pPr>
            <w:pStyle w:val="TableText"/>
          </w:pPr>
        </w:tc>
      </w:tr>
      <w:tr>
        <w:tc>
          <w:tcPr>
            <w:tcW w:w="1922" w:type="dxa"/>
          </w:tcPr>
          <w:p>
            <w:pPr>
              <w:pStyle w:val="TableText"/>
              <w:jc w:val="left"/>
            </w:pPr>
            <w:r>
              <w:t xml:space="preserve">出具单位</w:t>
            </w:r>
          </w:p>
        </w:tc>
        <w:tc>
          <w:tcPr>
            <w:tcW w:w="5000" w:type="dxa"/>
          </w:tcPr>
          <w:p>
            <w:pPr>
              <w:pStyle w:val="TableText"/>
              <w:jc w:val="left"/>
            </w:pPr>
            <w:r>
              <w:t xml:space="preserve">本地运营方（待确认）</w:t>
            </w:r>
          </w:p>
        </w:tc>
        <w:tc>
          <w:tcPr>
            <w:tcW w:w="1922" w:type="dxa"/>
          </w:tcPr>
          <w:p/>
          <w:pPr>
            <w:pStyle w:val="TableText"/>
          </w:pPr>
        </w:tc>
      </w:tr>
      <w:tr>
        <w:tc>
          <w:tcPr>
            <w:tcW w:w="1922" w:type="dxa"/>
          </w:tcPr>
          <w:p>
            <w:pPr>
              <w:pStyle w:val="TableText"/>
              <w:jc w:val="left"/>
            </w:pPr>
            <w:r>
              <w:t xml:space="preserve">落款与签章</w:t>
            </w:r>
          </w:p>
        </w:tc>
        <w:tc>
          <w:tcPr>
            <w:tcW w:w="5000" w:type="dxa"/>
          </w:tcPr>
          <w:p>
            <w:pPr>
              <w:pStyle w:val="TableText"/>
              <w:jc w:val="left"/>
            </w:pPr>
            <w:r>
              <w:t xml:space="preserve">无落款人；电子版不盖章</w:t>
            </w:r>
          </w:p>
        </w:tc>
        <w:tc>
          <w:tcPr>
            <w:tcW w:w="1922" w:type="dxa"/>
          </w:tcPr>
          <w:p>
            <w:pPr>
              <w:pStyle w:val="TableText"/>
              <w:jc w:val="left"/>
            </w:pPr>
            <w:r>
              <w:t xml:space="preserve">请明示出具单位名称、落款人及是否需加盖公章</w:t>
            </w:r>
          </w:p>
        </w:tc>
      </w:tr>
      <w:tr>
        <w:tc>
          <w:tcPr>
            <w:tcW w:w="1922" w:type="dxa"/>
          </w:tcPr>
          <w:p>
            <w:pPr>
              <w:pStyle w:val="TableText"/>
              <w:jc w:val="left"/>
            </w:pPr>
            <w:r>
              <w:t xml:space="preserve">编号规则</w:t>
            </w:r>
          </w:p>
        </w:tc>
        <w:tc>
          <w:tcPr>
            <w:tcW w:w="5000" w:type="dxa"/>
          </w:tcPr>
          <w:p>
            <w:pPr>
              <w:pStyle w:val="TableText"/>
              <w:jc w:val="left"/>
            </w:pPr>
            <w:r>
              <w:t xml:space="preserve">XS－年份－五位流水号，如 XS-2026-00012</w:t>
            </w:r>
          </w:p>
        </w:tc>
        <w:tc>
          <w:tcPr>
            <w:tcW w:w="1922" w:type="dxa"/>
          </w:tcPr>
          <w:p>
            <w:pPr>
              <w:pStyle w:val="TableText"/>
              <w:jc w:val="left"/>
            </w:pPr>
            <w:r>
              <w:t xml:space="preserve">固定格式，不建议改</w:t>
            </w:r>
          </w:p>
        </w:tc>
      </w:tr>
      <w:tr>
        <w:tc>
          <w:tcPr>
            <w:tcW w:w="1922" w:type="dxa"/>
          </w:tcPr>
          <w:p>
            <w:pPr>
              <w:pStyle w:val="TableText"/>
              <w:jc w:val="left"/>
            </w:pPr>
            <w:r>
              <w:t xml:space="preserve">核验方式</w:t>
            </w:r>
          </w:p>
        </w:tc>
        <w:tc>
          <w:tcPr>
            <w:tcW w:w="5000" w:type="dxa"/>
          </w:tcPr>
          <w:p>
            <w:pPr>
              <w:pStyle w:val="TableText"/>
              <w:jc w:val="left"/>
            </w:pPr>
            <w:r>
              <w:t xml:space="preserve">凭编号在平台「学时证明」页核验，或由系统接口核验；核验结果姓名脱敏</w:t>
            </w:r>
          </w:p>
        </w:tc>
        <w:tc>
          <w:tcPr>
            <w:tcW w:w="1922" w:type="dxa"/>
          </w:tcPr>
          <w:p/>
          <w:pPr>
            <w:pStyle w:val="TableText"/>
          </w:pPr>
        </w:tc>
      </w:tr>
      <w:tr>
        <w:tc>
          <w:tcPr>
            <w:tcW w:w="1922" w:type="dxa"/>
          </w:tcPr>
          <w:p>
            <w:pPr>
              <w:pStyle w:val="TableText"/>
              <w:jc w:val="left"/>
            </w:pPr>
            <w:r>
              <w:t xml:space="preserve">证明正文</w:t>
            </w:r>
          </w:p>
        </w:tc>
        <w:tc>
          <w:tcPr>
            <w:tcW w:w="5000" w:type="dxa"/>
          </w:tcPr>
          <w:p>
            <w:pPr>
              <w:pStyle w:val="TableText"/>
              <w:jc w:val="left"/>
            </w:pPr>
            <w:r>
              <w:t xml:space="preserve">兹证明某某（某某幼儿园）于某日至某日期间，在学前大课堂完成以下学习，合计若干分钟，按每 45 分钟折 1 学时、0.5 学时向下取整，计若干学时；下列学习项目、次数、分钟明细表</w:t>
            </w:r>
          </w:p>
        </w:tc>
        <w:tc>
          <w:tcPr>
            <w:tcW w:w="1922" w:type="dxa"/>
          </w:tcPr>
          <w:p/>
          <w:pPr>
            <w:pStyle w:val="TableText"/>
          </w:pPr>
        </w:tc>
      </w:tr>
      <w:tr>
        <w:tc>
          <w:tcPr>
            <w:tcW w:w="1922" w:type="dxa"/>
          </w:tcPr>
          <w:p>
            <w:pPr>
              <w:pStyle w:val="TableText"/>
              <w:jc w:val="left"/>
            </w:pPr>
            <w:r>
              <w:t xml:space="preserve">背面说明</w:t>
            </w:r>
          </w:p>
        </w:tc>
        <w:tc>
          <w:tcPr>
            <w:tcW w:w="5000" w:type="dxa"/>
          </w:tcPr>
          <w:p>
            <w:pPr>
              <w:pStyle w:val="TableText"/>
              <w:jc w:val="left"/>
            </w:pPr>
            <w:r>
              <w:t xml:space="preserve">本证明所列学时按平台学习记录计算，计时规则见背面；证明编号可在平台核验</w:t>
            </w:r>
          </w:p>
        </w:tc>
        <w:tc>
          <w:tcPr>
            <w:tcW w:w="1922" w:type="dxa"/>
          </w:tcPr>
          <w:p>
            <w:pPr>
              <w:pStyle w:val="TableText"/>
              <w:jc w:val="left"/>
            </w:pPr>
            <w:r>
              <w:t xml:space="preserve">请改写或补充</w:t>
            </w:r>
          </w:p>
        </w:tc>
      </w:tr>
      <w:tr>
        <w:tc>
          <w:tcPr>
            <w:tcW w:w="1922" w:type="dxa"/>
          </w:tcPr>
          <w:p>
            <w:pPr>
              <w:pStyle w:val="TableText"/>
              <w:jc w:val="left"/>
            </w:pPr>
            <w:r>
              <w:t xml:space="preserve">纸质件</w:t>
            </w:r>
          </w:p>
        </w:tc>
        <w:tc>
          <w:tcPr>
            <w:tcW w:w="5000" w:type="dxa"/>
          </w:tcPr>
          <w:p>
            <w:pPr>
              <w:pStyle w:val="TableText"/>
              <w:jc w:val="left"/>
            </w:pPr>
            <w:r>
              <w:t xml:space="preserve">教师自行打印或存为 PDF</w:t>
            </w:r>
          </w:p>
        </w:tc>
        <w:tc>
          <w:tcPr>
            <w:tcW w:w="1922" w:type="dxa"/>
          </w:tcPr>
          <w:p>
            <w:pPr>
              <w:pStyle w:val="TableText"/>
              <w:jc w:val="left"/>
            </w:pPr>
            <w:r>
              <w:t xml:space="preserve">如需统一纸质件，请明示由谁打印盖章</w:t>
            </w:r>
          </w:p>
        </w:tc>
      </w:tr>
    </w:tbl>
    <w:bookmarkEnd w:id="22"/>
    <w:bookmarkStart w:id="23" w:name="四生效与存档"/>
    <w:p>
      <w:pPr>
        <w:pStyle w:val="Heading1"/>
      </w:pPr>
      <w:r>
        <w:t xml:space="preserve">四、生效与存档</w:t>
      </w:r>
    </w:p>
    <w:p>
      <w:pPr>
        <w:pStyle w:val="FirstParagraph"/>
      </w:pPr>
      <w:r>
        <w:t xml:space="preserve">确认后的口径只影响此后出具的证明。每份证明出具时保存当时的口径快照，日后口径调整，已出具的证明不变、仍可核验。</w:t>
      </w:r>
    </w:p>
    <w:p>
      <w:pPr>
        <w:pStyle w:val="BodyText"/>
      </w:pPr>
      <w:r>
        <w:t xml:space="preserve">建议于本学期内确认，以便春季学期起教师按市里口径出具证明。确认表可直接在本表上批注后回传运营方。</w:t>
      </w:r>
    </w:p>
    <w:bookmarkEnd w:id="23"/>
    <w:sectPr>
      <w:footerReference w:type="default" r:id="rId9"/>
      <w:pgSz w:w="11906" w:h="16838"/>
      <w:pgMar w:top="2098" w:right="1474" w:bottom="1984" w:left="1587" w:header="851" w:footer="1247" w:gutter="0"/>
      <w:cols w:space="720"/>
      <w:docGrid w:type="lines" w:linePitch="312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="http://schemas.openxmlformats.org/wordprocessingml/2006/main">
  <w:p>
    <w:pPr>
      <w:pStyle w:val="Footer"/>
      <w:spacing w:before="0" w:after="0" w:line="240" w:lineRule="auto"/>
      <w:ind w:firstLine="0"/>
      <w:jc w:val="center"/>
    </w:pPr>
    <w:r>
      <w:rPr>
        <w:rFonts w:ascii="Times New Roman" w:hAnsi="Times New Roman" w:eastAsia="宋体"/>
        <w:sz w:val="28"/>
      </w:rPr>
      <w:t xml:space="preserve">— </w:t>
    </w:r>
    <w:r>
      <w:rPr>
        <w:rFonts w:ascii="Times New Roman" w:hAnsi="Times New Roman"/>
        <w:sz w:val="28"/>
      </w:rPr>
      <w:fldChar w:fldCharType="begin"/>
    </w:r>
    <w:r>
      <w:rPr>
        <w:sz w:val="28"/>
      </w:rPr>
      <w:instrText xml:space="preserve"> PAGE </w:instrText>
    </w:r>
    <w:r>
      <w:rPr>
        <w:sz w:val="28"/>
      </w:rPr>
      <w:fldChar w:fldCharType="separate"/>
    </w:r>
    <w:r>
      <w:rPr>
        <w:sz w:val="28"/>
      </w:rPr>
      <w:t>1</w:t>
    </w:r>
    <w:r>
      <w:rPr>
        <w:sz w:val="28"/>
      </w:rPr>
      <w:fldChar w:fldCharType="end"/>
    </w:r>
    <w:r>
      <w:rPr>
        <w:rFonts w:ascii="Times New Roman" w:hAnsi="Times New Roman" w:eastAsia="宋体"/>
        <w:sz w:val="28"/>
      </w:rPr>
      <w:t xml:space="preserve"> —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cs="Times New Roman" w:eastAsia="华文仿宋" w:hAnsi="Times New Roman"/>
        <w:sz w:val="32"/>
        <w:szCs w:val="32"/>
        <w:lang w:eastAsia="zh-CN" w:val="zh-C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0" w:before="0" w:line="560" w:lineRule="exact"/>
      <w:ind w:firstLine="640" w:firstLineChars="200"/>
      <w:jc w:val="both"/>
    </w:pPr>
    <w:rPr>
      <w:rFonts w:ascii="Times New Roman" w:cs="Times New Roman" w:eastAsia="华文仿宋" w:hAnsi="Times New Roman"/>
      <w:color w:val="000000"/>
      <w:sz w:val="32"/>
      <w:szCs w:val="32"/>
      <w:lang w:eastAsia="zh-CN"/>
    </w:rPr>
  </w:style>
  <w:style w:styleId="BodyText" w:type="paragraph">
    <w:name w:val="Body Text"/>
    <w:basedOn w:val="Normal"/>
    <w:link w:val="BodyTextChar"/>
    <w:qFormat/>
    <w:pPr>
      <w:spacing w:after="0" w:before="0" w:line="560" w:lineRule="exact"/>
      <w:ind w:firstLine="640" w:firstLineChars="200"/>
      <w:jc w:val="both"/>
    </w:pPr>
    <w:rPr>
      <w:rFonts w:ascii="Times New Roman" w:cs="Times New Roman" w:eastAsia="华文仿宋" w:hAnsi="Times New Roman"/>
      <w:sz w:val="32"/>
      <w:szCs w:val="32"/>
    </w:rPr>
  </w:style>
  <w:style w:customStyle="1" w:styleId="FirstParagraph" w:type="paragraph">
    <w:name w:val="First Paragraph"/>
    <w:basedOn w:val="BodyText"/>
    <w:next w:val="BodyText"/>
    <w:qFormat/>
    <w:pPr>
      <w:spacing w:after="0" w:before="0" w:line="560" w:lineRule="exact"/>
      <w:ind w:firstLine="640" w:firstLineChars="200"/>
      <w:jc w:val="both"/>
    </w:pPr>
    <w:rPr>
      <w:rFonts w:ascii="Times New Roman" w:cs="Times New Roman" w:eastAsia="华文仿宋" w:hAnsi="Times New Roman"/>
      <w:sz w:val="32"/>
      <w:szCs w:val="32"/>
    </w:rPr>
  </w:style>
  <w:style w:customStyle="1" w:styleId="Compact" w:type="paragraph">
    <w:name w:val="Compact"/>
    <w:basedOn w:val="BodyText"/>
    <w:qFormat/>
    <w:pPr>
      <w:spacing w:after="0" w:before="0" w:line="360" w:lineRule="auto"/>
      <w:ind w:firstLine="0"/>
      <w:jc w:val="left"/>
    </w:pPr>
    <w:rPr>
      <w:rFonts w:ascii="Times New Roman" w:cs="Times New Roman" w:eastAsia="华文仿宋" w:hAnsi="Times New Roman"/>
    </w:rPr>
  </w:style>
  <w:style w:styleId="Title" w:type="paragraph">
    <w:name w:val="Title"/>
    <w:basedOn w:val="Normal"/>
    <w:next w:val="BodyText"/>
    <w:qFormat/>
    <w:pPr>
      <w:pageBreakBefore w:val="0"/>
      <w:spacing w:after="800" w:before="4200" w:line="720" w:lineRule="exact"/>
      <w:ind w:firstLine="0"/>
      <w:jc w:val="center"/>
    </w:pPr>
    <w:rPr>
      <w:rFonts w:ascii="Times New Roman" w:cs="Times New Roman" w:eastAsia="华文中宋" w:hAnsi="Times New Roman"/>
      <w:b/>
      <w:color w:val="000000"/>
      <w:sz w:val="44"/>
      <w:szCs w:val="44"/>
    </w:rPr>
  </w:style>
  <w:style w:styleId="Subtitle" w:type="paragraph">
    <w:name w:val="Subtitle"/>
    <w:basedOn w:val="Title"/>
    <w:next w:val="BodyText"/>
    <w:qFormat/>
    <w:pPr>
      <w:spacing w:after="0" w:before="0" w:line="560" w:lineRule="exact"/>
      <w:ind w:firstLine="0"/>
      <w:jc w:val="center"/>
    </w:pPr>
    <w:rPr>
      <w:rFonts w:ascii="Times New Roman" w:cs="Times New Roman" w:eastAsia="华文仿宋" w:hAnsi="Times New Roman"/>
      <w:color w:val="000000"/>
      <w:sz w:val="32"/>
      <w:szCs w:val="32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spacing w:after="0" w:before="0" w:line="560" w:lineRule="exact"/>
      <w:ind w:firstLine="0"/>
      <w:jc w:val="center"/>
    </w:pPr>
    <w:rPr>
      <w:rFonts w:ascii="Times New Roman" w:cs="Times New Roman" w:eastAsia="华文仿宋" w:hAnsi="Times New Roman"/>
      <w:color w:val="000000"/>
      <w:sz w:val="32"/>
      <w:szCs w:val="32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spacing w:after="0" w:before="280" w:line="560" w:lineRule="exact"/>
      <w:ind w:firstLine="0"/>
      <w:outlineLvl w:val="0"/>
    </w:pPr>
    <w:rPr>
      <w:rFonts w:ascii="Times New Roman" w:cs="Times New Roman" w:eastAsia="华文黑体" w:hAnsi="Times New Roman"/>
      <w:b w:val="0"/>
      <w:color w:val="000000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spacing w:after="0" w:before="140" w:line="560" w:lineRule="exact"/>
      <w:ind w:firstLine="0"/>
      <w:outlineLvl w:val="1"/>
    </w:pPr>
    <w:rPr>
      <w:rFonts w:ascii="Times New Roman" w:cs="Times New Roman" w:eastAsia="华文楷体" w:hAnsi="Times New Roman"/>
      <w:b w:val="0"/>
      <w:color w:val="000000"/>
      <w:sz w:val="32"/>
      <w:szCs w:val="32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spacing w:after="0" w:before="0" w:line="560" w:lineRule="exact"/>
      <w:ind w:firstLine="0"/>
      <w:outlineLvl w:val="2"/>
    </w:pPr>
    <w:rPr>
      <w:rFonts w:ascii="Times New Roman" w:cs="Times New Roman" w:eastAsia="华文仿宋" w:hAnsi="Times New Roman"/>
      <w:b/>
      <w:color w:val="000000"/>
      <w:sz w:val="32"/>
      <w:szCs w:val="32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60" w:before="60" w:line="480" w:lineRule="exact"/>
      <w:ind w:firstLine="0" w:left="640"/>
    </w:pPr>
    <w:rPr>
      <w:rFonts w:ascii="Times New Roman" w:cs="Times New Roman" w:eastAsia="华文仿宋" w:hAnsi="Times New Roman"/>
      <w:sz w:val="28"/>
      <w:szCs w:val="28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Borders>
        <w:top w:color="BFC7D1" w:sz="4" w:val="single"/>
        <w:left w:color="BFC7D1" w:sz="4" w:val="single"/>
        <w:bottom w:color="BFC7D1" w:sz="4" w:val="single"/>
        <w:right w:color="BFC7D1" w:sz="4" w:val="single"/>
        <w:insideH w:color="BFC7D1" w:sz="4" w:val="single"/>
        <w:insideV w:color="BFC7D1" w:sz="4" w:val="single"/>
      </w:tblBorders>
      <w:tblInd w:type="dxa" w:w="0"/>
      <w:tblCellMar>
        <w:top w:type="dxa" w:w="60"/>
        <w:left w:type="dxa" w:w="100"/>
        <w:bottom w:type="dxa" w:w="60"/>
        <w:right w:type="dxa" w:w="100"/>
      </w:tblCellMar>
    </w:tblPr>
    <w:tblStylePr w:type="firstRow">
      <w:tblPr>
        <w:jc w:val="left"/>
        <w:tblInd w:type="dxa" w:w="0"/>
        <w:tblCellMar>
          <w:top w:type="dxa" w:w="60"/>
          <w:left w:type="dxa" w:w="100"/>
          <w:bottom w:type="dxa" w:w="60"/>
          <w:right w:type="dxa" w:w="100"/>
        </w:tblCellMar>
      </w:tblPr>
      <w:trPr>
        <w:jc w:val="left"/>
      </w:trPr>
      <w:tcPr>
        <w:vAlign w:val="bottom"/>
        <w:tcBorders>
          <w:bottom w:val="single"/>
        </w:tcBorders>
      </w:tcPr>
    </w:tblStylePr>
    <w:rPr>
      <w:rFonts w:ascii="Times New Roman" w:cs="Times New Roman" w:eastAsia="华文仿宋" w:hAnsi="Times New Roman"/>
      <w:sz w:val="24"/>
      <w:szCs w:val="24"/>
    </w:r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 w:line="480" w:lineRule="exact"/>
      <w:ind w:firstLine="0"/>
      <w:jc w:val="center"/>
    </w:pPr>
    <w:rPr>
      <w:rFonts w:ascii="Times New Roman" w:cs="Times New Roman" w:eastAsia="华文黑体" w:hAnsi="Times New Roman"/>
      <w:i w:val="0"/>
      <w:color w:val="000000"/>
      <w:sz w:val="28"/>
      <w:szCs w:val="28"/>
    </w:rPr>
  </w:style>
  <w:style w:customStyle="1" w:styleId="TableCaption" w:type="paragraph">
    <w:name w:val="Table Caption"/>
    <w:basedOn w:val="Caption"/>
    <w:pPr>
      <w:spacing w:after="120" w:before="0" w:line="480" w:lineRule="exact"/>
      <w:ind w:firstLine="0"/>
      <w:jc w:val="center"/>
    </w:pPr>
    <w:rPr>
      <w:rFonts w:ascii="Times New Roman" w:cs="Times New Roman" w:eastAsia="华文黑体" w:hAnsi="Times New Roman"/>
      <w:i w:val="0"/>
      <w:color w:val="000000"/>
      <w:sz w:val="28"/>
      <w:szCs w:val="28"/>
    </w:rPr>
  </w:style>
  <w:style w:customStyle="1" w:styleId="ImageCaption" w:type="paragraph">
    <w:name w:val="Image Caption"/>
    <w:basedOn w:val="Caption"/>
    <w:pPr>
      <w:spacing w:after="120" w:before="0" w:line="480" w:lineRule="exact"/>
      <w:ind w:firstLine="0"/>
      <w:jc w:val="center"/>
    </w:pPr>
    <w:rPr>
      <w:rFonts w:ascii="Times New Roman" w:cs="Times New Roman" w:eastAsia="华文黑体" w:hAnsi="Times New Roman"/>
      <w:i w:val="0"/>
      <w:color w:val="000000"/>
      <w:sz w:val="28"/>
      <w:szCs w:val="28"/>
    </w:rPr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Times New Roman" w:cs="Times New Roman" w:eastAsia="华文仿宋" w:hAnsi="Times New Roman"/>
      <w:sz w:val="28"/>
      <w:szCs w:val="28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pageBreakBefore/>
      <w:spacing w:after="400" w:before="0" w:line="560" w:lineRule="exact"/>
      <w:ind w:firstLine="0"/>
      <w:jc w:val="center"/>
    </w:pPr>
    <w:rPr>
      <w:rFonts w:ascii="Times New Roman" w:cs="Times New Roman" w:eastAsia="华文黑体" w:hAnsi="Times New Roman"/>
      <w:b w:val="0"/>
      <w:color w:val="000000"/>
      <w:sz w:val="32"/>
      <w:szCs w:val="32"/>
    </w:rPr>
  </w:style>
  <w:style w:styleId="TableText" w:type="paragraph">
    <w:name w:val="Table Text"/>
    <w:basedOn w:val="Normal"/>
    <w:qFormat/>
    <w:pPr>
      <w:spacing w:after="20" w:before="20" w:line="300" w:lineRule="auto"/>
      <w:ind w:firstLine="0" w:firstLineChars="0"/>
      <w:jc w:val="left"/>
    </w:pPr>
    <w:rPr>
      <w:rFonts w:ascii="Times New Roman" w:cs="Times New Roman" w:eastAsia="华文仿宋" w:hAnsi="Times New Roman"/>
      <w:sz w:val="24"/>
      <w:szCs w:val="24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学前大课堂继续教育学时证明：计时口径与证明格式确认表</dc:title>
  <dc:creator/>
  <dc:language>zh-CN</dc:language>
  <cp:keywords/>
  <dcterms:created xsi:type="dcterms:W3CDTF">2026-10-21T13:33:48Z</dcterms:created>
  <dcterms:modified xsi:type="dcterms:W3CDTF">2026-10-21T13:33:48Z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学前大课堂运营方　｜　2026 年 10 月</vt:lpwstr>
  </property>
  <property fmtid="{D5CDD505-2E9C-101B-9397-08002B2CF9AE}" pid="3" name="subtitle">
    <vt:lpwstr>致：柳州市教育局　柳州市教师发展中心</vt:lpwstr>
  </property>
</Properties>
</file>