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sz w:val="30"/>
          <w:szCs w:val="30"/>
        </w:rPr>
        <w:t xml:space="preserve">FITMAKESENZ LLC</w:t>
      </w:r>
    </w:p>
    <w:p>
      <w:pPr>
        <w:spacing w:after="120"/>
        <w:jc w:val="center"/>
      </w:pPr>
      <w:r>
        <w:rPr>
          <w:sz w:val="22"/>
          <w:szCs w:val="22"/>
        </w:rPr>
        <w:t xml:space="preserve">d/b/a AmenityFit</w:t>
      </w:r>
    </w:p>
    <w:p>
      <w:pPr>
        <w:spacing w:before="600"/>
      </w:pPr>
    </w:p>
    <w:p>
      <w:pPr>
        <w:spacing w:after="120"/>
        <w:jc w:val="center"/>
      </w:pPr>
      <w:r>
        <w:rPr>
          <w:b/>
          <w:bCs/>
          <w:sz w:val="34"/>
          <w:szCs w:val="34"/>
        </w:rPr>
        <w:t xml:space="preserve">MASTER SERVICES AGREEMENT</w:t>
      </w:r>
    </w:p>
    <w:p>
      <w:pPr>
        <w:spacing w:before="200"/>
      </w:pPr>
    </w:p>
    <w:p>
      <w:pPr>
        <w:spacing w:after="120"/>
        <w:jc w:val="center"/>
      </w:pPr>
      <w:r>
        <w:rPr>
          <w:sz w:val="19"/>
          <w:szCs w:val="19"/>
        </w:rPr>
        <w:t xml:space="preserve">(Residential Fitness Amenity Platform — Single-Building and Multi-Property Portfolio Agreements)</w:t>
      </w:r>
    </w:p>
    <w:p>
      <w:pPr>
        <w:spacing w:before="800"/>
      </w:pPr>
    </w:p>
    <w:p>
      <w:pPr>
        <w:spacing w:after="120"/>
        <w:jc w:val="center"/>
      </w:pPr>
      <w:r>
        <w:rPr>
          <w:sz w:val="21"/>
          <w:szCs w:val="21"/>
        </w:rPr>
        <w:t xml:space="preserve">Effective Date: _______________________________</w:t>
      </w:r>
    </w:p>
    <w:p>
      <w:pPr>
        <w:spacing w:before="200"/>
      </w:pPr>
    </w:p>
    <w:p>
      <w:pPr>
        <w:spacing w:after="120"/>
        <w:jc w:val="center"/>
      </w:pPr>
      <w:r>
        <w:rPr>
          <w:sz w:val="21"/>
          <w:szCs w:val="21"/>
        </w:rPr>
        <w:t xml:space="preserve">Between:</w:t>
      </w:r>
    </w:p>
    <w:p>
      <w:pPr>
        <w:spacing w:before="100"/>
      </w:pPr>
    </w:p>
    <w:p>
      <w:pPr>
        <w:spacing w:after="120"/>
        <w:jc w:val="center"/>
      </w:pPr>
      <w:r>
        <w:rPr>
          <w:sz w:val="21"/>
          <w:szCs w:val="21"/>
        </w:rPr>
        <w:t xml:space="preserve">FITMAKESENZ LLC, a New York limited liability company, d/b/a AmenityFit ("Company")</w:t>
      </w:r>
    </w:p>
    <w:p>
      <w:pPr>
        <w:spacing w:after="120"/>
        <w:jc w:val="center"/>
      </w:pPr>
      <w:r>
        <w:rPr>
          <w:sz w:val="19"/>
          <w:szCs w:val="19"/>
        </w:rPr>
        <w:t xml:space="preserve">and</w:t>
      </w:r>
    </w:p>
    <w:p>
      <w:pPr>
        <w:spacing w:after="120"/>
        <w:jc w:val="center"/>
      </w:pPr>
      <w:r>
        <w:rPr>
          <w:sz w:val="21"/>
          <w:szCs w:val="21"/>
        </w:rPr>
        <w:t xml:space="preserve">_______________________________________ ("Client")</w:t>
      </w:r>
    </w:p>
    <w:p>
      <w:pPr>
        <w:spacing w:before="900"/>
      </w:pPr>
    </w:p>
    <w:p>
      <w:pPr>
        <w:spacing w:after="120"/>
        <w:jc w:val="center"/>
      </w:pPr>
      <w:r>
        <w:rPr>
          <w:sz w:val="18"/>
          <w:szCs w:val="18"/>
        </w:rPr>
        <w:t xml:space="preserve">This Agreement, together with its Exhibits, constitutes the entire agreement between the parties regarding the subject matter herein.</w:t>
      </w:r>
    </w:p>
    <w:p>
      <w:pPr>
        <w:sectPr>
          <w:pgSz w:w="12240" w:h="15840" w:orient="portrait"/>
          <w:pgMar w:top="1440" w:right="1440" w:bottom="1440" w:left="1440" w:header="708" w:footer="708" w:gutter="0"/>
          <w:pgNumType/>
          <w:docGrid w:linePitch="360"/>
        </w:sectPr>
      </w:pPr>
    </w:p>
    <w:p>
      <w:pPr>
        <w:pStyle w:val="Heading1"/>
        <w:spacing w:after="160" w:before="360"/>
      </w:pPr>
      <w:r>
        <w:rPr>
          <w:b/>
          <w:bCs/>
          <w:sz w:val="26"/>
          <w:szCs w:val="26"/>
        </w:rPr>
        <w:t xml:space="preserve">RECITALS</w:t>
      </w:r>
    </w:p>
    <w:p>
      <w:pPr>
        <w:spacing w:after="160" w:line="276"/>
      </w:pPr>
      <w:r>
        <w:rPr>
          <w:sz w:val="21"/>
          <w:szCs w:val="21"/>
        </w:rPr>
        <w:t xml:space="preserve">WHEREAS, Company has developed and operates AmenityFit, a proprietary software platform that delivers personalized fitness programming, coaching guidance, and progress tracking to residents of residential buildings ("Service"); and</w:t>
      </w:r>
    </w:p>
    <w:p>
      <w:pPr>
        <w:spacing w:after="160" w:line="276"/>
      </w:pPr>
      <w:r>
        <w:rPr>
          <w:sz w:val="21"/>
          <w:szCs w:val="21"/>
        </w:rPr>
        <w:t xml:space="preserve">WHEREAS, Client owns, manages, or operates one or more residential buildings and wishes to make the Service available to residents of such building(s) as a resident amenity; and</w:t>
      </w:r>
    </w:p>
    <w:p>
      <w:pPr>
        <w:spacing w:after="160" w:line="276"/>
      </w:pPr>
      <w:r>
        <w:rPr>
          <w:sz w:val="21"/>
          <w:szCs w:val="21"/>
        </w:rPr>
        <w:t xml:space="preserve">WHEREAS, the parties intend for this Agreement to serve as a single master agreement capable of covering either a single building or a portfolio of multiple buildings under common ownership or management, as further set forth in Exhibit A;</w:t>
      </w:r>
    </w:p>
    <w:p>
      <w:pPr>
        <w:spacing w:after="160" w:line="276"/>
      </w:pPr>
      <w:r>
        <w:rPr>
          <w:sz w:val="21"/>
          <w:szCs w:val="21"/>
        </w:rPr>
        <w:t xml:space="preserve">NOW, THEREFORE, in consideration of the mutual covenants contained herein, the parties agree as follows:</w:t>
      </w:r>
    </w:p>
    <w:p>
      <w:pPr>
        <w:pStyle w:val="Heading1"/>
        <w:spacing w:after="160" w:before="360"/>
      </w:pPr>
      <w:r>
        <w:rPr>
          <w:b/>
          <w:bCs/>
          <w:sz w:val="26"/>
          <w:szCs w:val="26"/>
        </w:rPr>
        <w:t xml:space="preserve">1. DEFINITIONS</w:t>
      </w:r>
    </w:p>
    <w:p>
      <w:pPr>
        <w:spacing w:after="160" w:line="276"/>
      </w:pPr>
      <w:r>
        <w:rPr>
          <w:b/>
          <w:bCs/>
          <w:sz w:val="21"/>
          <w:szCs w:val="21"/>
        </w:rPr>
        <w:t xml:space="preserve">1.1 "Agreement" </w:t>
      </w:r>
      <w:r>
        <w:rPr>
          <w:sz w:val="21"/>
          <w:szCs w:val="21"/>
        </w:rPr>
        <w:t xml:space="preserve">means this Master Services Agreement, together with Exhibit A (Pricing and Building Schedule) and any other exhibits, order forms, or amendments executed by both parties.</w:t>
      </w:r>
    </w:p>
    <w:p>
      <w:pPr>
        <w:spacing w:after="160" w:line="276"/>
      </w:pPr>
      <w:r>
        <w:rPr>
          <w:b/>
          <w:bCs/>
          <w:sz w:val="21"/>
          <w:szCs w:val="21"/>
        </w:rPr>
        <w:t xml:space="preserve">1.2 "Building(s)" </w:t>
      </w:r>
      <w:r>
        <w:rPr>
          <w:sz w:val="21"/>
          <w:szCs w:val="21"/>
        </w:rPr>
        <w:t xml:space="preserve">means each residential property listed on Exhibit A for which Client has subscribed to the Service.</w:t>
      </w:r>
    </w:p>
    <w:p>
      <w:pPr>
        <w:spacing w:after="160" w:line="276"/>
      </w:pPr>
      <w:r>
        <w:rPr>
          <w:b/>
          <w:bCs/>
          <w:sz w:val="21"/>
          <w:szCs w:val="21"/>
        </w:rPr>
        <w:t xml:space="preserve">1.3 "Effective Date" </w:t>
      </w:r>
      <w:r>
        <w:rPr>
          <w:sz w:val="21"/>
          <w:szCs w:val="21"/>
        </w:rPr>
        <w:t xml:space="preserve">means the date first written above, or, with respect to a Building added after the date of this Agreement, the Service Start Date listed for that Building on the then-current Exhibit A.</w:t>
      </w:r>
    </w:p>
    <w:p>
      <w:pPr>
        <w:spacing w:after="160" w:line="276"/>
      </w:pPr>
      <w:r>
        <w:rPr>
          <w:b/>
          <w:bCs/>
          <w:sz w:val="21"/>
          <w:szCs w:val="21"/>
        </w:rPr>
        <w:t xml:space="preserve">1.4 "Fees" </w:t>
      </w:r>
      <w:r>
        <w:rPr>
          <w:sz w:val="21"/>
          <w:szCs w:val="21"/>
        </w:rPr>
        <w:t xml:space="preserve">means the amounts payable by Client for each Building as set forth on Exhibit A, based on the applicable tier and unit count for that Building.</w:t>
      </w:r>
    </w:p>
    <w:p>
      <w:pPr>
        <w:spacing w:after="160" w:line="276"/>
      </w:pPr>
      <w:r>
        <w:rPr>
          <w:b/>
          <w:bCs/>
          <w:sz w:val="21"/>
          <w:szCs w:val="21"/>
        </w:rPr>
        <w:t xml:space="preserve">1.5 "Initial Term" </w:t>
      </w:r>
      <w:r>
        <w:rPr>
          <w:sz w:val="21"/>
          <w:szCs w:val="21"/>
        </w:rPr>
        <w:t xml:space="preserve">means, with respect to each Building, the twelve (12) month period commencing on that Building's Service Start Date.</w:t>
      </w:r>
    </w:p>
    <w:p>
      <w:pPr>
        <w:spacing w:after="160" w:line="276"/>
      </w:pPr>
      <w:r>
        <w:rPr>
          <w:b/>
          <w:bCs/>
          <w:sz w:val="21"/>
          <w:szCs w:val="21"/>
        </w:rPr>
        <w:t xml:space="preserve">1.6 "Resident(s)" </w:t>
      </w:r>
      <w:r>
        <w:rPr>
          <w:sz w:val="21"/>
          <w:szCs w:val="21"/>
        </w:rPr>
        <w:t xml:space="preserve">means individuals residing in a Building who are issued access to the Service via a building-specific invite code.</w:t>
      </w:r>
    </w:p>
    <w:p>
      <w:pPr>
        <w:spacing w:after="160" w:line="276"/>
      </w:pPr>
      <w:r>
        <w:rPr>
          <w:b/>
          <w:bCs/>
          <w:sz w:val="21"/>
          <w:szCs w:val="21"/>
        </w:rPr>
        <w:t xml:space="preserve">1.7 "Software" </w:t>
      </w:r>
      <w:r>
        <w:rPr>
          <w:sz w:val="21"/>
          <w:szCs w:val="21"/>
        </w:rPr>
        <w:t xml:space="preserve">means the AmenityFit web and mobile applications, underlying source code, program-generation logic, and all related documentation, in each case as may be updated by Company from time to time.</w:t>
      </w:r>
    </w:p>
    <w:p>
      <w:pPr>
        <w:pStyle w:val="Heading1"/>
        <w:spacing w:after="160" w:before="360"/>
      </w:pPr>
      <w:r>
        <w:rPr>
          <w:b/>
          <w:bCs/>
          <w:sz w:val="26"/>
          <w:szCs w:val="26"/>
        </w:rPr>
        <w:t xml:space="preserve">2. THE SERVICE</w:t>
      </w:r>
    </w:p>
    <w:p>
      <w:pPr>
        <w:spacing w:after="160" w:line="276"/>
      </w:pPr>
      <w:r>
        <w:rPr>
          <w:sz w:val="21"/>
          <w:szCs w:val="21"/>
        </w:rPr>
        <w:t xml:space="preserve">2.1 Company shall make the Software available to Residents of each Building, providing personalized workout programming matched to that Building's available equipment, an in-app coaching assistant, and resident progress tracking, together with a Building Manager dashboard providing adoption and engagement reporting for that Building.</w:t>
      </w:r>
    </w:p>
    <w:p>
      <w:pPr>
        <w:spacing w:after="160" w:line="276"/>
      </w:pPr>
      <w:r>
        <w:rPr>
          <w:sz w:val="21"/>
          <w:szCs w:val="21"/>
        </w:rPr>
        <w:t xml:space="preserve">2.2 Client acknowledges that the Service is a software-based fitness guidance tool. The Service does not provide, and is not a substitute for, medical advice, diagnosis, or treatment, and Company strongly encourages all Residents to consult a physician before beginning any exercise program.</w:t>
      </w:r>
    </w:p>
    <w:p>
      <w:pPr>
        <w:spacing w:after="160" w:line="276"/>
      </w:pPr>
      <w:r>
        <w:rPr>
          <w:sz w:val="21"/>
          <w:szCs w:val="21"/>
        </w:rPr>
        <w:t xml:space="preserve">2.3 Company reserves the right to update, modify, or improve the Software at any time, provided that no such change shall materially reduce the core functionality of the Service for the remainder of any then-current Initial Term or Renewal Term without Client's consent.</w:t>
      </w:r>
    </w:p>
    <w:p>
      <w:pPr>
        <w:pStyle w:val="Heading1"/>
        <w:spacing w:after="160" w:before="360"/>
      </w:pPr>
      <w:r>
        <w:rPr>
          <w:b/>
          <w:bCs/>
          <w:sz w:val="26"/>
          <w:szCs w:val="26"/>
        </w:rPr>
        <w:t xml:space="preserve">3. TERM AND RENEWAL</w:t>
      </w:r>
    </w:p>
    <w:p>
      <w:pPr>
        <w:spacing w:after="160" w:line="276"/>
      </w:pPr>
      <w:r>
        <w:rPr>
          <w:sz w:val="21"/>
          <w:szCs w:val="21"/>
        </w:rPr>
        <w:t xml:space="preserve">3.1 Initial Term. With respect to each Building, this Agreement commences on that Building's Service Start Date and continues for the Initial Term of twelve (12) months.</w:t>
      </w:r>
    </w:p>
    <w:p>
      <w:pPr>
        <w:spacing w:after="160" w:line="276"/>
      </w:pPr>
      <w:r>
        <w:rPr>
          <w:sz w:val="21"/>
          <w:szCs w:val="21"/>
        </w:rPr>
        <w:t xml:space="preserve">3.2 Automatic Renewal. Upon expiration of the Initial Term, and each Renewal Term thereafter, this Agreement shall automatically renew for successive one (1) year terms with respect to each Building (each, a "Renewal Term"), unless either party provides written notice of non-renewal at least sixty (60) days prior to the end of the then-current term.</w:t>
      </w:r>
    </w:p>
    <w:p>
      <w:pPr>
        <w:spacing w:after="160" w:line="276"/>
      </w:pPr>
      <w:r>
        <w:rPr>
          <w:sz w:val="21"/>
          <w:szCs w:val="21"/>
        </w:rPr>
        <w:t xml:space="preserve">3.3 Mid-Term Cancellation. Client acknowledges that Fees are committed for the full duration of the Initial Term or any Renewal Term then in effect. Cancellation, non-use, or reduced adoption by Residents during a committed term does not relieve Client of its obligation to pay Fees for the remainder of that term. Any request to terminate a Building's participation prior to the end of its then-current committed term shall constitute an early termination and, unless otherwise agreed in writing by Company, Client shall remain liable for all Fees that would otherwise have become due through the end of that term. This Section 3.3 does not apply where Client validly terminates this Agreement with respect to a Building pursuant to Section 14.1 due to Company’s uncured material breach; in that circumstance, Client’s payment obligation for that Building ceases as of the effective date of such termination, without prejudice to any Fees already accrued and unpaid as of that date.</w:t>
      </w:r>
    </w:p>
    <w:p>
      <w:pPr>
        <w:spacing w:after="160" w:line="276"/>
      </w:pPr>
      <w:r>
        <w:rPr>
          <w:sz w:val="21"/>
          <w:szCs w:val="21"/>
        </w:rPr>
        <w:t xml:space="preserve">3.4 The sixty (60) day notice period described in Section 3.2 applies solely to non-renewal at the end of a committed term, and does not itself operate as a right to exit mid-term.</w:t>
      </w:r>
    </w:p>
    <w:p>
      <w:pPr>
        <w:spacing w:after="160" w:line="276"/>
      </w:pPr>
      <w:r>
        <w:rPr>
          <w:sz w:val="21"/>
          <w:szCs w:val="21"/>
        </w:rPr>
        <w:t xml:space="preserve">3.5 Monthly-Only Billing. Client may elect to be billed monthly rather than annually for a given Building, in which case the monthly Fee for the applicable tier as set forth on Exhibit A shall apply. The Initial Term and Renewal Term commitments described above apply equally regardless of billing frequency.</w:t>
      </w:r>
    </w:p>
    <w:p>
      <w:pPr>
        <w:pStyle w:val="Heading1"/>
        <w:spacing w:after="160" w:before="360"/>
      </w:pPr>
      <w:r>
        <w:rPr>
          <w:b/>
          <w:bCs/>
          <w:sz w:val="26"/>
          <w:szCs w:val="26"/>
        </w:rPr>
        <w:t xml:space="preserve">4. FEES AND PAYMENT</w:t>
      </w:r>
    </w:p>
    <w:p>
      <w:pPr>
        <w:spacing w:after="160" w:line="276"/>
      </w:pPr>
      <w:r>
        <w:rPr>
          <w:sz w:val="21"/>
          <w:szCs w:val="21"/>
        </w:rPr>
        <w:t xml:space="preserve">4.1 Client shall pay Company the Fees set forth on Exhibit A for each Building, based on the tier corresponding to that Building's unit count.</w:t>
      </w:r>
    </w:p>
    <w:p>
      <w:pPr>
        <w:spacing w:after="160" w:line="276"/>
      </w:pPr>
      <w:r>
        <w:rPr>
          <w:sz w:val="21"/>
          <w:szCs w:val="21"/>
        </w:rPr>
        <w:t xml:space="preserve">4.2 Invoices are due within fifteen (15) days of the invoice date ("Net 15"), unless otherwise agreed in writing. Any amount not paid when due shall accrue interest at the lesser of one and one-half percent (1.5%) per month or the maximum rate permitted by applicable law.</w:t>
      </w:r>
    </w:p>
    <w:p>
      <w:pPr>
        <w:spacing w:after="160" w:line="276"/>
      </w:pPr>
      <w:r>
        <w:rPr>
          <w:sz w:val="21"/>
          <w:szCs w:val="21"/>
        </w:rPr>
        <w:t xml:space="preserve">4.3 Fees are exclusive of all applicable sales, use, and similar taxes, which shall be Client's responsibility unless Client provides a valid exemption certificate.</w:t>
      </w:r>
    </w:p>
    <w:p>
      <w:pPr>
        <w:spacing w:after="160" w:line="276"/>
      </w:pPr>
      <w:r>
        <w:rPr>
          <w:sz w:val="21"/>
          <w:szCs w:val="21"/>
        </w:rPr>
        <w:t xml:space="preserve">4.4 Company may suspend access to the Service for any Building with Fees more than thirty (30) days past due, upon prior written notice, without relieving Client of its obligation to pay all Fees due under the applicable committed term.</w:t>
      </w:r>
    </w:p>
    <w:p>
      <w:pPr>
        <w:spacing w:after="160" w:line="276"/>
      </w:pPr>
      <w:r>
        <w:rPr>
          <w:sz w:val="21"/>
          <w:szCs w:val="21"/>
        </w:rPr>
        <w:t xml:space="preserve">4.5 Fees set forth on Exhibit A are fixed for the duration of the then-current Initial Term or Renewal Term for each Building. Company may propose adjusted Fees effective at the start of any subsequent Renewal Term, upon at least sixty (60) days' written notice prior to such renewal.</w:t>
      </w:r>
    </w:p>
    <w:p>
      <w:pPr>
        <w:spacing w:after="160" w:line="276"/>
      </w:pPr>
      <w:r>
        <w:rPr>
          <w:sz w:val="21"/>
          <w:szCs w:val="21"/>
        </w:rPr>
        <w:t xml:space="preserve">4.6 Portfolio Volume Discount. Where Client commits five (5) or more Buildings under this Agreement (whether at signing or cumulatively via one or more Order Forms), the aggregate Fees otherwise payable across all such Buildings, calculated using each Building's applicable tier Monthly Fee multiplied by twelve (12) regardless of Client's elected billing frequency, shall be discounted by the single, all-inclusive percentage set forth in the Portfolio Volume Discount Schedule on Exhibit A, based on the total number of Buildings then covered under this Agreement. The percentage set forth on Exhibit A is the complete, final discount off that calculated amount and does not stack with, or apply in addition to, any other discount.</w:t>
      </w:r>
    </w:p>
    <w:p>
      <w:pPr>
        <w:spacing w:after="160" w:line="276"/>
      </w:pPr>
      <w:r>
        <w:rPr>
          <w:sz w:val="21"/>
          <w:szCs w:val="21"/>
        </w:rPr>
        <w:t xml:space="preserve">4.7 Consolidated Invoicing. Where Client has more than one Building covered under this Agreement, Company shall issue a single consolidated invoice covering all such Buildings, rather than a separate invoice per Building, unless the parties agree otherwise in writing.</w:t>
      </w:r>
    </w:p>
    <w:p>
      <w:pPr>
        <w:spacing w:after="160" w:line="276"/>
      </w:pPr>
      <w:r>
        <w:rPr>
          <w:sz w:val="21"/>
          <w:szCs w:val="21"/>
        </w:rPr>
        <w:t xml:space="preserve">4.8 No Setoff. Client’s payment obligations under this Agreement are absolute and unconditional and are not subject to any setoff, counterclaim, deduction, or withholding for any claim against Company. Any good-faith dispute regarding a specific invoiced amount must be raised in writing within the applicable payment period but does not excuse or delay Client’s timely payment of that invoice or any other amount then due.</w:t>
      </w:r>
    </w:p>
    <w:p>
      <w:pPr>
        <w:pStyle w:val="Heading1"/>
        <w:spacing w:after="160" w:before="360"/>
      </w:pPr>
      <w:r>
        <w:rPr>
          <w:b/>
          <w:bCs/>
          <w:sz w:val="26"/>
          <w:szCs w:val="26"/>
        </w:rPr>
        <w:t xml:space="preserve">5. MULTI-BUILDING AND PORTFOLIO ARRANGEMENTS</w:t>
      </w:r>
    </w:p>
    <w:p>
      <w:pPr>
        <w:spacing w:after="160" w:line="276"/>
      </w:pPr>
      <w:r>
        <w:rPr>
          <w:sz w:val="21"/>
          <w:szCs w:val="21"/>
        </w:rPr>
        <w:t xml:space="preserve">5.1 This Agreement is structured to accommodate Client relationships involving a single Building or a portfolio of multiple Buildings under Client's common ownership or management.</w:t>
      </w:r>
    </w:p>
    <w:p>
      <w:pPr>
        <w:spacing w:after="160" w:line="276"/>
      </w:pPr>
      <w:r>
        <w:rPr>
          <w:sz w:val="21"/>
          <w:szCs w:val="21"/>
        </w:rPr>
        <w:t xml:space="preserve">5.2 Additional Buildings may be added to this Agreement at any time by both parties executing an updated or supplemental Exhibit A (or a separate Order Form incorporating this Agreement by reference) identifying the additional Building(s), applicable tier, unit count, and billing frequency. Each Building so added shall be subject to all terms of this Agreement, with its own Initial Term commencing on its respective Service Start Date.</w:t>
      </w:r>
    </w:p>
    <w:p>
      <w:pPr>
        <w:spacing w:after="160" w:line="276"/>
      </w:pPr>
      <w:r>
        <w:rPr>
          <w:sz w:val="21"/>
          <w:szCs w:val="21"/>
        </w:rPr>
        <w:t xml:space="preserve">5.3 Removal or non-renewal of one Building from a multi-Building Exhibit A shall not affect the terms, pricing, or committed terms applicable to any other Building listed thereon, unless otherwise agreed in writing.</w:t>
      </w:r>
    </w:p>
    <w:p>
      <w:pPr>
        <w:pStyle w:val="Heading1"/>
        <w:spacing w:after="160" w:before="360"/>
      </w:pPr>
      <w:r>
        <w:rPr>
          <w:b/>
          <w:bCs/>
          <w:sz w:val="26"/>
          <w:szCs w:val="26"/>
        </w:rPr>
        <w:t xml:space="preserve">6. CLIENT RESPONSIBILITIES</w:t>
      </w:r>
    </w:p>
    <w:p>
      <w:pPr>
        <w:pStyle w:val="ListParagraph"/>
        <w:numPr>
          <w:ilvl w:val="0"/>
          <w:numId w:val="1"/>
        </w:numPr>
        <w:spacing w:after="100" w:line="276"/>
      </w:pPr>
      <w:r>
        <w:rPr>
          <w:sz w:val="21"/>
          <w:szCs w:val="21"/>
        </w:rPr>
        <w:t xml:space="preserve">Provide accurate and current information regarding each Building's available fitness equipment, and promptly notify Company of any material change to such equipment.</w:t>
      </w:r>
    </w:p>
    <w:p>
      <w:pPr>
        <w:pStyle w:val="ListParagraph"/>
        <w:numPr>
          <w:ilvl w:val="0"/>
          <w:numId w:val="1"/>
        </w:numPr>
        <w:spacing w:after="100" w:line="276"/>
      </w:pPr>
      <w:r>
        <w:rPr>
          <w:sz w:val="21"/>
          <w:szCs w:val="21"/>
        </w:rPr>
        <w:t xml:space="preserve">Distribute building-specific invite codes only to bona fide Residents of the applicable Building, and not publicly, commercially, or to non-Residents.</w:t>
      </w:r>
    </w:p>
    <w:p>
      <w:pPr>
        <w:pStyle w:val="ListParagraph"/>
        <w:numPr>
          <w:ilvl w:val="0"/>
          <w:numId w:val="1"/>
        </w:numPr>
        <w:spacing w:after="100" w:line="276"/>
      </w:pPr>
      <w:r>
        <w:rPr>
          <w:sz w:val="21"/>
          <w:szCs w:val="21"/>
        </w:rPr>
        <w:t xml:space="preserve">Designate a primary point of contact for communications regarding the Service.</w:t>
      </w:r>
    </w:p>
    <w:p>
      <w:pPr>
        <w:pStyle w:val="ListParagraph"/>
        <w:numPr>
          <w:ilvl w:val="0"/>
          <w:numId w:val="1"/>
        </w:numPr>
        <w:spacing w:after="100" w:line="276"/>
      </w:pPr>
      <w:r>
        <w:rPr>
          <w:sz w:val="21"/>
          <w:szCs w:val="21"/>
        </w:rPr>
        <w:t xml:space="preserve">Maintain the physical fitness equipment and premises within each Building in reasonably safe operating condition, consistent with Client's existing obligations as the owner or manager of that Building.</w:t>
      </w:r>
    </w:p>
    <w:p>
      <w:pPr>
        <w:pStyle w:val="ListParagraph"/>
        <w:numPr>
          <w:ilvl w:val="0"/>
          <w:numId w:val="1"/>
        </w:numPr>
        <w:spacing w:after="100" w:line="276"/>
      </w:pPr>
      <w:r>
        <w:rPr>
          <w:sz w:val="21"/>
          <w:szCs w:val="21"/>
        </w:rPr>
        <w:t xml:space="preserve">Not resell, sublicense, white-label, or otherwise make the Service available to any building, property, or organization not listed on the then-current Exhibit A.</w:t>
      </w:r>
    </w:p>
    <w:p>
      <w:pPr>
        <w:pStyle w:val="Heading1"/>
        <w:spacing w:after="160" w:before="360"/>
      </w:pPr>
      <w:r>
        <w:rPr>
          <w:b/>
          <w:bCs/>
          <w:sz w:val="26"/>
          <w:szCs w:val="26"/>
        </w:rPr>
        <w:t xml:space="preserve">7. INTELLECTUAL PROPERTY</w:t>
      </w:r>
    </w:p>
    <w:p>
      <w:pPr>
        <w:spacing w:after="160" w:line="276"/>
      </w:pPr>
      <w:r>
        <w:rPr>
          <w:sz w:val="21"/>
          <w:szCs w:val="21"/>
        </w:rPr>
        <w:t xml:space="preserve">7.1 As between the parties, Company owns all right, title, and interest in and to the Software, the AmenityFit name and marks, and all underlying technology, programming logic, and content, including any improvements or modifications thereto, whether or not specifically developed for Client.</w:t>
      </w:r>
    </w:p>
    <w:p>
      <w:pPr>
        <w:spacing w:after="160" w:line="276"/>
      </w:pPr>
      <w:r>
        <w:rPr>
          <w:sz w:val="21"/>
          <w:szCs w:val="21"/>
        </w:rPr>
        <w:t xml:space="preserve">7.2 Company grants Client a limited, non-exclusive, non-transferable, revocable license during the term of this Agreement to permit Residents of each then-active Building to access and use the Service solely for personal, non-commercial fitness purposes.</w:t>
      </w:r>
    </w:p>
    <w:p>
      <w:pPr>
        <w:spacing w:after="160" w:line="276"/>
      </w:pPr>
      <w:r>
        <w:rPr>
          <w:sz w:val="21"/>
          <w:szCs w:val="21"/>
        </w:rPr>
        <w:t xml:space="preserve">7.3 Client shall not, and shall not permit any third party to, copy, modify, reverse engineer, decompile, or create derivative works based on the Software, or remove any proprietary notices therefrom.</w:t>
      </w:r>
    </w:p>
    <w:p>
      <w:pPr>
        <w:spacing w:after="160" w:line="276"/>
      </w:pPr>
      <w:r>
        <w:rPr>
          <w:sz w:val="21"/>
          <w:szCs w:val="21"/>
        </w:rPr>
        <w:t xml:space="preserve">7.4 No rights are granted to Client in or to the Software except as expressly set forth in this Agreement.</w:t>
      </w:r>
    </w:p>
    <w:p>
      <w:pPr>
        <w:pStyle w:val="Heading1"/>
        <w:spacing w:after="160" w:before="360"/>
      </w:pPr>
      <w:r>
        <w:rPr>
          <w:b/>
          <w:bCs/>
          <w:sz w:val="26"/>
          <w:szCs w:val="26"/>
        </w:rPr>
        <w:t xml:space="preserve">8. DATA AND PRIVACY</w:t>
      </w:r>
    </w:p>
    <w:p>
      <w:pPr>
        <w:spacing w:after="160" w:line="276"/>
      </w:pPr>
      <w:r>
        <w:rPr>
          <w:sz w:val="21"/>
          <w:szCs w:val="21"/>
        </w:rPr>
        <w:t xml:space="preserve">8.1 Company's collection and use of Resident personal data is governed by Company's Privacy Policy, as may be updated from time to time and made available at Company's website.</w:t>
      </w:r>
    </w:p>
    <w:p>
      <w:pPr>
        <w:spacing w:after="160" w:line="276"/>
      </w:pPr>
      <w:r>
        <w:rPr>
          <w:sz w:val="21"/>
          <w:szCs w:val="21"/>
        </w:rPr>
        <w:t xml:space="preserve">8.2 Company may use de-identified, aggregated data derived from Building- and Resident-level usage (which does not identify any individual Resident) for purposes including product improvement, benchmarking, and marketing, without restriction.</w:t>
      </w:r>
    </w:p>
    <w:p>
      <w:pPr>
        <w:spacing w:after="160" w:line="276"/>
      </w:pPr>
      <w:r>
        <w:rPr>
          <w:sz w:val="21"/>
          <w:szCs w:val="21"/>
        </w:rPr>
        <w:t xml:space="preserve">8.3 Client shall not attempt to access, and shall not request that Company disclose, any individual Resident's personal health, fitness, or injury information except as reasonably necessary for Client's own building-management purposes and as permitted under applicable law.</w:t>
      </w:r>
    </w:p>
    <w:p>
      <w:pPr>
        <w:pStyle w:val="Heading1"/>
        <w:spacing w:after="160" w:before="360"/>
      </w:pPr>
      <w:r>
        <w:rPr>
          <w:b/>
          <w:bCs/>
          <w:sz w:val="26"/>
          <w:szCs w:val="26"/>
        </w:rPr>
        <w:t xml:space="preserve">9. CONFIDENTIALITY</w:t>
      </w:r>
    </w:p>
    <w:p>
      <w:pPr>
        <w:spacing w:after="160" w:line="276"/>
      </w:pPr>
      <w:r>
        <w:rPr>
          <w:sz w:val="21"/>
          <w:szCs w:val="21"/>
        </w:rPr>
        <w:t xml:space="preserve">9.1 Each party may have access to non-public business, technical, or financial information of the other party ("Confidential Information"). Each party agrees to use the other party's Confidential Information solely to perform its obligations under this Agreement, and to protect it using at least the same degree of care it uses to protect its own confidential information of similar nature, but no less than reasonable care.</w:t>
      </w:r>
    </w:p>
    <w:p>
      <w:pPr>
        <w:spacing w:after="160" w:line="276"/>
      </w:pPr>
      <w:r>
        <w:rPr>
          <w:sz w:val="21"/>
          <w:szCs w:val="21"/>
        </w:rPr>
        <w:t xml:space="preserve">9.2 Confidential Information does not include information that is or becomes publicly available through no fault of the receiving party, was already known to the receiving party without confidentiality obligation, or is independently developed without use of the disclosing party's Confidential Information.</w:t>
      </w:r>
    </w:p>
    <w:p>
      <w:pPr>
        <w:pStyle w:val="Heading1"/>
        <w:spacing w:after="160" w:before="360"/>
      </w:pPr>
      <w:r>
        <w:rPr>
          <w:b/>
          <w:bCs/>
          <w:sz w:val="26"/>
          <w:szCs w:val="26"/>
        </w:rPr>
        <w:t xml:space="preserve">10. REPRESENTATIONS AND WARRANTIES; DISCLAIMER</w:t>
      </w:r>
    </w:p>
    <w:p>
      <w:pPr>
        <w:spacing w:after="160" w:line="276"/>
      </w:pPr>
      <w:r>
        <w:rPr>
          <w:sz w:val="21"/>
          <w:szCs w:val="21"/>
        </w:rPr>
        <w:t xml:space="preserve">10.1 Each party represents that it has full power and authority to enter into this Agreement and to perform its obligations hereunder.</w:t>
      </w:r>
    </w:p>
    <w:p>
      <w:pPr>
        <w:spacing w:after="160" w:line="276"/>
      </w:pPr>
      <w:r>
        <w:rPr>
          <w:sz w:val="21"/>
          <w:szCs w:val="21"/>
        </w:rPr>
        <w:t xml:space="preserve">10.2 EXCEPT AS EXPRESSLY SET FORTH IN THIS AGREEMENT, THE SERVICE IS PROVIDED "AS IS" AND "AS AVAILABLE," WITHOUT WARRANTIES OF ANY KIND, WHETHER EXPRESS, IMPLIED, OR STATUTORY, INCLUDING ANY IMPLIED WARRANTIES OF MERCHANTABILITY, FITNESS FOR A PARTICULAR PURPOSE, OR NON-INFRINGEMENT. COMPANY DOES NOT WARRANT THAT THE SERVICE WILL BE UNINTERRUPTED, ERROR-FREE, OR THAT ANY PARTICULAR LEVEL OF RESIDENT ADOPTION, ENGAGEMENT, OR FITNESS OUTCOME WILL RESULT FROM USE OF THE SERVICE.</w:t>
      </w:r>
    </w:p>
    <w:p>
      <w:pPr>
        <w:spacing w:after="160" w:line="276"/>
      </w:pPr>
      <w:r>
        <w:rPr>
          <w:sz w:val="21"/>
          <w:szCs w:val="21"/>
        </w:rPr>
        <w:t xml:space="preserve">10.3 Client acknowledges that individual Resident fitness results depend on numerous factors outside Company's control, and Company makes no guarantee regarding any specific health or fitness outcome for any Resident.</w:t>
      </w:r>
    </w:p>
    <w:p>
      <w:pPr>
        <w:pStyle w:val="Heading1"/>
        <w:spacing w:after="160" w:before="360"/>
      </w:pPr>
      <w:r>
        <w:rPr>
          <w:b/>
          <w:bCs/>
          <w:sz w:val="26"/>
          <w:szCs w:val="26"/>
        </w:rPr>
        <w:t xml:space="preserve">11. LIMITATION OF LIABILITY</w:t>
      </w:r>
    </w:p>
    <w:p>
      <w:pPr>
        <w:spacing w:after="160" w:line="276"/>
      </w:pPr>
      <w:r>
        <w:rPr>
          <w:sz w:val="21"/>
          <w:szCs w:val="21"/>
        </w:rPr>
        <w:t xml:space="preserve">11.1 EXCEPT FOR A PARTY'S INDEMNIFICATION OBLIGATIONS, BREACH OF SECTION 9 (CONFIDENTIALITY), OR A PARTY'S GROSS NEGLIGENCE OR WILLFUL MISCONDUCT, IN NO EVENT SHALL EITHER PARTY BE LIABLE TO THE OTHER FOR ANY INDIRECT, INCIDENTAL, SPECIAL, CONSEQUENTIAL, OR PUNITIVE DAMAGES, INCLUDING LOST PROFITS OR LOST BUSINESS, ARISING OUT OF OR RELATED TO THIS AGREEMENT, REGARDLESS OF THE THEORY OF LIABILITY, EVEN IF ADVISED OF THE POSSIBILITY OF SUCH DAMAGES.</w:t>
      </w:r>
    </w:p>
    <w:p>
      <w:pPr>
        <w:spacing w:after="160" w:line="276"/>
      </w:pPr>
      <w:r>
        <w:rPr>
          <w:sz w:val="21"/>
          <w:szCs w:val="21"/>
        </w:rPr>
        <w:t xml:space="preserve">11.2 EXCEPT FOR A PARTY'S INDEMNIFICATION OBLIGATIONS OR BREACH OF SECTION 9, EACH PARTY'S TOTAL AGGREGATE LIABILITY ARISING OUT OF OR RELATED TO THIS AGREEMENT SHALL NOT EXCEED THE TOTAL FEES PAID OR PAYABLE BY CLIENT TO COMPANY UNDER THIS AGREEMENT DURING THE TWELVE (12) MONTHS PRECEDING THE EVENT GIVING RISE TO THE CLAIM.</w:t>
      </w:r>
    </w:p>
    <w:p>
      <w:pPr>
        <w:pStyle w:val="Heading1"/>
        <w:spacing w:after="160" w:before="360"/>
      </w:pPr>
      <w:r>
        <w:rPr>
          <w:b/>
          <w:bCs/>
          <w:sz w:val="26"/>
          <w:szCs w:val="26"/>
        </w:rPr>
        <w:t xml:space="preserve">12. INDEMNIFICATION</w:t>
      </w:r>
    </w:p>
    <w:p>
      <w:pPr>
        <w:spacing w:after="160" w:line="276"/>
      </w:pPr>
      <w:r>
        <w:rPr>
          <w:sz w:val="21"/>
          <w:szCs w:val="21"/>
        </w:rPr>
        <w:t xml:space="preserve">12.1 By Client. Client shall indemnify, defend, and hold harmless Company from and against any third-party claims, damages, and reasonable expenses (including attorneys' fees) arising out of: (a) any injury to a Resident occurring on or in connection with the physical premises, facilities, or equipment of a Building; (b) Client's inaccurate representation of a Building's available equipment; or (c) Client's breach of Section 6 or Section 7 of this Agreement.</w:t>
      </w:r>
    </w:p>
    <w:p>
      <w:pPr>
        <w:spacing w:after="160" w:line="276"/>
      </w:pPr>
      <w:r>
        <w:rPr>
          <w:sz w:val="21"/>
          <w:szCs w:val="21"/>
        </w:rPr>
        <w:t xml:space="preserve">12.2 By Company. Company shall indemnify, defend, and hold harmless Client from and against any third-party claims that the Software, as provided by Company and used in accordance with this Agreement, infringes a third party's United States intellectual property rights.</w:t>
      </w:r>
    </w:p>
    <w:p>
      <w:pPr>
        <w:spacing w:after="160" w:line="276"/>
      </w:pPr>
      <w:r>
        <w:rPr>
          <w:sz w:val="21"/>
          <w:szCs w:val="21"/>
        </w:rPr>
        <w:t xml:space="preserve">12.3 The indemnifying party's obligations under this Section 12 are conditioned on the indemnified party providing prompt written notice of the claim, reasonable cooperation, and sole control of the defense and settlement of such claim.</w:t>
      </w:r>
    </w:p>
    <w:p>
      <w:pPr>
        <w:pStyle w:val="Heading1"/>
        <w:spacing w:after="160" w:before="360"/>
      </w:pPr>
      <w:r>
        <w:rPr>
          <w:b/>
          <w:bCs/>
          <w:sz w:val="26"/>
          <w:szCs w:val="26"/>
        </w:rPr>
        <w:t xml:space="preserve">13. INSURANCE</w:t>
      </w:r>
    </w:p>
    <w:p>
      <w:pPr>
        <w:spacing w:after="160" w:line="276"/>
      </w:pPr>
      <w:r>
        <w:rPr>
          <w:sz w:val="21"/>
          <w:szCs w:val="21"/>
        </w:rPr>
        <w:t xml:space="preserve">13.1 Each party shall maintain commercially reasonable insurance coverage appropriate to its respective operations. Company represents that it maintains general commercial liability insurance and technology/professional errors and omissions coverage appropriate to a software service provider.</w:t>
      </w:r>
    </w:p>
    <w:p>
      <w:pPr>
        <w:spacing w:after="160" w:line="276"/>
      </w:pPr>
      <w:r>
        <w:rPr>
          <w:sz w:val="21"/>
          <w:szCs w:val="21"/>
        </w:rPr>
        <w:t xml:space="preserve">13.2 Client acknowledges that Client's own property, premises, and general liability insurance covering each Building remains Client's sole responsibility with respect to the physical gym facilities, equipment, and premises of each Building, and that this Agreement does not expand, substitute for, or otherwise affect either party's existing insurance coverage.</w:t>
      </w:r>
    </w:p>
    <w:p>
      <w:pPr>
        <w:pStyle w:val="Heading1"/>
        <w:spacing w:after="160" w:before="360"/>
      </w:pPr>
      <w:r>
        <w:rPr>
          <w:b/>
          <w:bCs/>
          <w:sz w:val="26"/>
          <w:szCs w:val="26"/>
        </w:rPr>
        <w:t xml:space="preserve">14. TERM; TERMINATION FOR CAUSE</w:t>
      </w:r>
    </w:p>
    <w:p>
      <w:pPr>
        <w:spacing w:after="160" w:line="276"/>
      </w:pPr>
      <w:r>
        <w:rPr>
          <w:sz w:val="21"/>
          <w:szCs w:val="21"/>
        </w:rPr>
        <w:t xml:space="preserve">14.1 Either party may terminate this Agreement with respect to a given Building, effective immediately upon written notice, if the other party materially breaches this Agreement and fails to cure such breach within thirty (30) days of receiving written notice describing the breach in reasonable detail.</w:t>
      </w:r>
    </w:p>
    <w:p>
      <w:pPr>
        <w:spacing w:after="160" w:line="276"/>
      </w:pPr>
      <w:r>
        <w:rPr>
          <w:sz w:val="21"/>
          <w:szCs w:val="21"/>
        </w:rPr>
        <w:t xml:space="preserve">14.2 Either party may terminate this Agreement immediately upon written notice if the other party becomes insolvent, makes an assignment for the benefit of creditors, or becomes subject to bankruptcy or similar proceedings not dismissed within sixty (60) days.</w:t>
      </w:r>
    </w:p>
    <w:p>
      <w:pPr>
        <w:spacing w:after="160" w:line="276"/>
      </w:pPr>
      <w:r>
        <w:rPr>
          <w:sz w:val="21"/>
          <w:szCs w:val="21"/>
        </w:rPr>
        <w:t xml:space="preserve">14.3 Upon termination or expiration of this Agreement with respect to any Building, Company shall deactivate Resident access to the Service for that Building. Sections 4 (with respect to Fees accrued or committed prior to termination), 7, 8, 9, 10, 11, 12, and 15 shall survive any termination or expiration of this Agreement.</w:t>
      </w:r>
    </w:p>
    <w:p>
      <w:pPr>
        <w:pStyle w:val="Heading1"/>
        <w:spacing w:after="160" w:before="360"/>
      </w:pPr>
      <w:r>
        <w:rPr>
          <w:b/>
          <w:bCs/>
          <w:sz w:val="26"/>
          <w:szCs w:val="26"/>
        </w:rPr>
        <w:t xml:space="preserve">15. GENERAL PROVISIONS</w:t>
      </w:r>
    </w:p>
    <w:p>
      <w:pPr>
        <w:spacing w:after="160" w:line="276"/>
      </w:pPr>
      <w:r>
        <w:rPr>
          <w:b/>
          <w:bCs/>
          <w:sz w:val="21"/>
          <w:szCs w:val="21"/>
        </w:rPr>
        <w:t xml:space="preserve">15.1 Independent Contractors. </w:t>
      </w:r>
      <w:r>
        <w:rPr>
          <w:sz w:val="21"/>
          <w:szCs w:val="21"/>
        </w:rPr>
        <w:t xml:space="preserve">The parties are independent contractors. Nothing in this Agreement creates a partnership, joint venture, agency, or employment relationship between the parties.</w:t>
      </w:r>
    </w:p>
    <w:p>
      <w:pPr>
        <w:spacing w:after="160" w:line="276"/>
      </w:pPr>
      <w:r>
        <w:rPr>
          <w:b/>
          <w:bCs/>
          <w:sz w:val="21"/>
          <w:szCs w:val="21"/>
        </w:rPr>
        <w:t xml:space="preserve">15.2 Force Majeure. </w:t>
      </w:r>
      <w:r>
        <w:rPr>
          <w:sz w:val="21"/>
          <w:szCs w:val="21"/>
        </w:rPr>
        <w:t xml:space="preserve">Neither party shall be liable for any failure or delay in performance due to causes beyond its reasonable control, including acts of God, natural disaster, war, terrorism, labor disputes, or internet or utility failures. This Section 15.2 does not excuse, reduce, or delay Client’s payment obligations under Section 4, which remain governed exclusively by Section 3.3 and this Agreement’s other payment provisions.</w:t>
      </w:r>
    </w:p>
    <w:p>
      <w:pPr>
        <w:spacing w:after="160" w:line="276"/>
      </w:pPr>
      <w:r>
        <w:rPr>
          <w:b/>
          <w:bCs/>
          <w:sz w:val="21"/>
          <w:szCs w:val="21"/>
        </w:rPr>
        <w:t xml:space="preserve">15.3 Assignment. </w:t>
      </w:r>
      <w:r>
        <w:rPr>
          <w:sz w:val="21"/>
          <w:szCs w:val="21"/>
        </w:rPr>
        <w:t xml:space="preserve">Neither party may assign this Agreement without the prior written consent of the other party, except that either party may assign this Agreement without consent in connection with a merger, acquisition, or sale of substantially all of its assets.</w:t>
      </w:r>
    </w:p>
    <w:p>
      <w:pPr>
        <w:spacing w:after="160" w:line="276"/>
      </w:pPr>
      <w:r>
        <w:rPr>
          <w:b/>
          <w:bCs/>
          <w:sz w:val="21"/>
          <w:szCs w:val="21"/>
        </w:rPr>
        <w:t xml:space="preserve">15.4 Notices. </w:t>
      </w:r>
      <w:r>
        <w:rPr>
          <w:sz w:val="21"/>
          <w:szCs w:val="21"/>
        </w:rPr>
        <w:t xml:space="preserve">All notices under this Agreement shall be in writing and delivered to the addresses set forth in the signature block below, by email with confirmation of receipt, or by nationally recognized overnight courier.</w:t>
      </w:r>
    </w:p>
    <w:p>
      <w:pPr>
        <w:spacing w:after="160" w:line="276"/>
      </w:pPr>
      <w:r>
        <w:rPr>
          <w:b/>
          <w:bCs/>
          <w:sz w:val="21"/>
          <w:szCs w:val="21"/>
        </w:rPr>
        <w:t xml:space="preserve">15.5 Governing Law and Venue. </w:t>
      </w:r>
      <w:r>
        <w:rPr>
          <w:sz w:val="21"/>
          <w:szCs w:val="21"/>
        </w:rPr>
        <w:t xml:space="preserve">This Agreement shall be governed by the laws of the State of New York, without regard to its conflict of laws principles. The parties consent to the exclusive jurisdiction and venue of the state and federal courts located in New York County, New York, and each party waives any right to a jury trial in any dispute arising out of this Agreement.</w:t>
      </w:r>
    </w:p>
    <w:p>
      <w:pPr>
        <w:spacing w:after="160" w:line="276"/>
      </w:pPr>
      <w:r>
        <w:rPr>
          <w:b/>
          <w:bCs/>
          <w:sz w:val="21"/>
          <w:szCs w:val="21"/>
        </w:rPr>
        <w:t xml:space="preserve">15.6 Entire Agreement; Amendment. </w:t>
      </w:r>
      <w:r>
        <w:rPr>
          <w:sz w:val="21"/>
          <w:szCs w:val="21"/>
        </w:rPr>
        <w:t xml:space="preserve">This Agreement, together with Exhibit A and any duly executed amendments or supplemental Exhibits, constitutes the entire agreement between the parties regarding its subject matter and supersedes all prior agreements or understandings, whether written or oral. This Agreement may be amended only by a written instrument signed by both parties, except that Exhibit A may be updated as described in Section 5.2.</w:t>
      </w:r>
    </w:p>
    <w:p>
      <w:pPr>
        <w:spacing w:after="160" w:line="276"/>
      </w:pPr>
      <w:r>
        <w:rPr>
          <w:b/>
          <w:bCs/>
          <w:sz w:val="21"/>
          <w:szCs w:val="21"/>
        </w:rPr>
        <w:t xml:space="preserve">15.7 Severability; Waiver. </w:t>
      </w:r>
      <w:r>
        <w:rPr>
          <w:sz w:val="21"/>
          <w:szCs w:val="21"/>
        </w:rPr>
        <w:t xml:space="preserve">If any provision of this Agreement is held unenforceable, the remaining provisions shall remain in full force and effect. No waiver of any breach shall be deemed a waiver of any subsequent breach.</w:t>
      </w:r>
    </w:p>
    <w:p>
      <w:pPr>
        <w:spacing w:after="160" w:line="276"/>
      </w:pPr>
      <w:r>
        <w:rPr>
          <w:b/>
          <w:bCs/>
          <w:sz w:val="21"/>
          <w:szCs w:val="21"/>
        </w:rPr>
        <w:t xml:space="preserve">15.8 Counterparts; Electronic Signature. </w:t>
      </w:r>
      <w:r>
        <w:rPr>
          <w:sz w:val="21"/>
          <w:szCs w:val="21"/>
        </w:rPr>
        <w:t xml:space="preserve">This Agreement may be executed in counterparts, each of which shall be deemed an original, and may be executed and delivered by electronic signature, each of which shall have the same force and effect as an original signature.</w:t>
      </w:r>
    </w:p>
    <w:p>
      <w:r>
        <w:br w:type="page"/>
      </w:r>
    </w:p>
    <w:p>
      <w:pPr>
        <w:pStyle w:val="Heading1"/>
        <w:spacing w:after="160" w:before="360"/>
      </w:pPr>
      <w:r>
        <w:rPr>
          <w:b/>
          <w:bCs/>
          <w:sz w:val="26"/>
          <w:szCs w:val="26"/>
        </w:rPr>
        <w:t xml:space="preserve">SIGNATURES</w:t>
      </w:r>
    </w:p>
    <w:p>
      <w:pPr>
        <w:spacing w:after="160" w:line="276"/>
      </w:pPr>
      <w:r>
        <w:rPr>
          <w:sz w:val="21"/>
          <w:szCs w:val="21"/>
        </w:rPr>
        <w:t xml:space="preserve">IN WITNESS WHEREOF, the parties have executed this Agreement as of the Effective Date first written above.</w:t>
      </w:r>
    </w:p>
    <w:p>
      <w:pPr>
        <w:spacing w:before="400"/>
      </w:pPr>
    </w:p>
    <w:p>
      <w:pPr>
        <w:pStyle w:val="Heading2"/>
        <w:spacing w:after="120" w:before="240"/>
      </w:pPr>
      <w:r>
        <w:rPr>
          <w:b/>
          <w:bCs/>
          <w:sz w:val="23"/>
          <w:szCs w:val="23"/>
        </w:rPr>
        <w:t xml:space="preserve">FITMAKESENZ LLC, d/b/a AmenityFit</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w:t>
      </w:r>
    </w:p>
    <w:p>
      <w:pPr>
        <w:spacing w:after="160" w:line="276"/>
      </w:pPr>
      <w:r>
        <w:rPr>
          <w:sz w:val="21"/>
          <w:szCs w:val="21"/>
        </w:rPr>
        <w:t xml:space="preserve">Title: ______________________________________</w:t>
      </w:r>
    </w:p>
    <w:p>
      <w:pPr>
        <w:spacing w:after="160" w:line="276"/>
      </w:pPr>
      <w:r>
        <w:rPr>
          <w:sz w:val="21"/>
          <w:szCs w:val="21"/>
        </w:rPr>
        <w:t xml:space="preserve">Date: ______________________________________</w:t>
      </w:r>
    </w:p>
    <w:p>
      <w:pPr>
        <w:spacing w:after="160" w:line="276"/>
      </w:pPr>
      <w:r>
        <w:rPr>
          <w:sz w:val="21"/>
          <w:szCs w:val="21"/>
        </w:rPr>
        <w:t xml:space="preserve">Notice Address: _____________________________</w:t>
      </w:r>
    </w:p>
    <w:p>
      <w:pPr>
        <w:spacing w:before="500"/>
      </w:pPr>
    </w:p>
    <w:p>
      <w:pPr>
        <w:pStyle w:val="Heading2"/>
        <w:spacing w:after="120" w:before="240"/>
      </w:pPr>
      <w:r>
        <w:rPr>
          <w:b/>
          <w:bCs/>
          <w:sz w:val="23"/>
          <w:szCs w:val="23"/>
        </w:rPr>
        <w:t xml:space="preserve">CLIENT</w:t>
      </w:r>
    </w:p>
    <w:p>
      <w:pPr>
        <w:spacing w:after="160" w:line="276"/>
      </w:pPr>
      <w:r>
        <w:rPr>
          <w:sz w:val="21"/>
          <w:szCs w:val="21"/>
        </w:rPr>
        <w:t xml:space="preserve">Company / Building Name: ____________________</w:t>
      </w:r>
    </w:p>
    <w:p>
      <w:pPr>
        <w:spacing w:after="160" w:line="276"/>
      </w:pPr>
      <w:r>
        <w:rPr>
          <w:sz w:val="21"/>
          <w:szCs w:val="21"/>
        </w:rPr>
        <w:t xml:space="preserve">By: _______________________________________</w:t>
      </w:r>
    </w:p>
    <w:p>
      <w:pPr>
        <w:spacing w:after="160" w:line="276"/>
      </w:pPr>
      <w:r>
        <w:rPr>
          <w:sz w:val="21"/>
          <w:szCs w:val="21"/>
        </w:rPr>
        <w:t xml:space="preserve">Name: _____________________________________</w:t>
      </w:r>
    </w:p>
    <w:p>
      <w:pPr>
        <w:spacing w:after="160" w:line="276"/>
      </w:pPr>
      <w:r>
        <w:rPr>
          <w:sz w:val="21"/>
          <w:szCs w:val="21"/>
        </w:rPr>
        <w:t xml:space="preserve">Title: ______________________________________</w:t>
      </w:r>
    </w:p>
    <w:p>
      <w:pPr>
        <w:spacing w:after="160" w:line="276"/>
      </w:pPr>
      <w:r>
        <w:rPr>
          <w:sz w:val="21"/>
          <w:szCs w:val="21"/>
        </w:rPr>
        <w:t xml:space="preserve">Date: ______________________________________</w:t>
      </w:r>
    </w:p>
    <w:p>
      <w:pPr>
        <w:spacing w:after="160" w:line="276"/>
      </w:pPr>
      <w:r>
        <w:rPr>
          <w:sz w:val="21"/>
          <w:szCs w:val="21"/>
        </w:rPr>
        <w:t xml:space="preserve">Notice Address: _____________________________</w:t>
      </w:r>
    </w:p>
    <w:p>
      <w:r>
        <w:br w:type="page"/>
      </w:r>
    </w:p>
    <w:p>
      <w:pPr>
        <w:pStyle w:val="Heading1"/>
        <w:spacing w:after="160" w:before="360"/>
      </w:pPr>
      <w:r>
        <w:rPr>
          <w:b/>
          <w:bCs/>
          <w:sz w:val="26"/>
          <w:szCs w:val="26"/>
        </w:rPr>
        <w:t xml:space="preserve">EXHIBIT A — PRICING AND VOLUME DISCOUNT SCHEDULE</w:t>
      </w:r>
    </w:p>
    <w:p>
      <w:pPr>
        <w:pStyle w:val="Heading2"/>
        <w:spacing w:after="120" w:before="240"/>
      </w:pPr>
      <w:r>
        <w:rPr>
          <w:b/>
          <w:bCs/>
          <w:sz w:val="23"/>
          <w:szCs w:val="23"/>
        </w:rPr>
        <w:t xml:space="preserve">Standard Pricing Tiers</w:t>
      </w:r>
    </w:p>
    <w:p>
      <w:pPr>
        <w:spacing w:after="160" w:line="276"/>
      </w:pPr>
      <w:r>
        <w:rPr>
          <w:sz w:val="21"/>
          <w:szCs w:val="21"/>
        </w:rPr>
        <w:t xml:space="preserve">The following tiers apply based on the total number of residential units in a given Building. Fees are billed per Building, with no per-Resident fees and no usage caps.</w:t>
      </w:r>
    </w:p>
    <w:p>
      <w:pPr>
        <w:spacing w:after="3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A1A2E" w:color="auto" w:val="clear"/>
          </w:tcPr>
          <w:p>
            <w:r>
              <w:rPr>
                <w:b/>
                <w:bCs/>
                <w:color w:val="FFFFFF"/>
                <w:sz w:val="19"/>
                <w:szCs w:val="19"/>
              </w:rPr>
              <w:t xml:space="preserve">Tier</w:t>
            </w:r>
          </w:p>
        </w:tc>
        <w:tc>
          <w:tcPr>
            <w:tcW w:type="dxa" w:w="2250"/>
            <w:shd w:fill="1A1A2E" w:color="auto" w:val="clear"/>
          </w:tcPr>
          <w:p>
            <w:r>
              <w:rPr>
                <w:b/>
                <w:bCs/>
                <w:color w:val="FFFFFF"/>
                <w:sz w:val="19"/>
                <w:szCs w:val="19"/>
              </w:rPr>
              <w:t xml:space="preserve">Units</w:t>
            </w:r>
          </w:p>
        </w:tc>
        <w:tc>
          <w:tcPr>
            <w:tcW w:type="dxa" w:w="2250"/>
            <w:shd w:fill="1A1A2E" w:color="auto" w:val="clear"/>
          </w:tcPr>
          <w:p>
            <w:r>
              <w:rPr>
                <w:b/>
                <w:bCs/>
                <w:color w:val="FFFFFF"/>
                <w:sz w:val="19"/>
                <w:szCs w:val="19"/>
              </w:rPr>
              <w:t xml:space="preserve">Monthly Fee</w:t>
            </w:r>
          </w:p>
        </w:tc>
        <w:tc>
          <w:tcPr>
            <w:tcW w:type="dxa" w:w="2250"/>
            <w:shd w:fill="1A1A2E" w:color="auto" w:val="clear"/>
          </w:tcPr>
          <w:p>
            <w:r>
              <w:rPr>
                <w:b/>
                <w:bCs/>
                <w:color w:val="FFFFFF"/>
                <w:sz w:val="19"/>
                <w:szCs w:val="19"/>
              </w:rPr>
              <w:t xml:space="preserve">Annual Fee</w:t>
            </w:r>
          </w:p>
        </w:tc>
      </w:tr>
      <w:tr>
        <w:tc>
          <w:tcPr>
            <w:tcW w:type="dxa" w:w="2250"/>
            <w:shd w:fill="EFEFEF" w:color="auto" w:val="clear"/>
          </w:tcPr>
          <w:p>
            <w:r>
              <w:rPr>
                <w:b/>
                <w:bCs/>
                <w:sz w:val="19"/>
                <w:szCs w:val="19"/>
              </w:rPr>
              <w:t xml:space="preserve">AmenityFit Starter</w:t>
            </w:r>
          </w:p>
        </w:tc>
        <w:tc>
          <w:tcPr>
            <w:tcW w:type="dxa" w:w="2250"/>
            <w:shd w:fill="EFEFEF" w:color="auto" w:val="clear"/>
          </w:tcPr>
          <w:p>
            <w:r>
              <w:rPr>
                <w:b w:val="false"/>
                <w:bCs w:val="false"/>
                <w:sz w:val="19"/>
                <w:szCs w:val="19"/>
              </w:rPr>
              <w:t xml:space="preserve">Up to 50</w:t>
            </w:r>
          </w:p>
        </w:tc>
        <w:tc>
          <w:tcPr>
            <w:tcW w:type="dxa" w:w="2250"/>
            <w:shd w:fill="EFEFEF" w:color="auto" w:val="clear"/>
          </w:tcPr>
          <w:p>
            <w:r>
              <w:rPr>
                <w:b w:val="false"/>
                <w:bCs w:val="false"/>
                <w:sz w:val="19"/>
                <w:szCs w:val="19"/>
              </w:rPr>
              <w:t xml:space="preserve">$599.00</w:t>
            </w:r>
          </w:p>
        </w:tc>
        <w:tc>
          <w:tcPr>
            <w:tcW w:type="dxa" w:w="2250"/>
            <w:shd w:fill="EFEFEF" w:color="auto" w:val="clear"/>
          </w:tcPr>
          <w:p>
            <w:r>
              <w:rPr>
                <w:b w:val="false"/>
                <w:bCs w:val="false"/>
                <w:sz w:val="19"/>
                <w:szCs w:val="19"/>
              </w:rPr>
              <w:t xml:space="preserve">$5,990.00</w:t>
            </w:r>
          </w:p>
        </w:tc>
      </w:tr>
      <w:tr>
        <w:tc>
          <w:tcPr>
            <w:tcW w:type="dxa" w:w="2250"/>
          </w:tcPr>
          <w:p>
            <w:r>
              <w:rPr>
                <w:b/>
                <w:bCs/>
                <w:sz w:val="19"/>
                <w:szCs w:val="19"/>
              </w:rPr>
              <w:t xml:space="preserve">AmenityFit Growth</w:t>
            </w:r>
          </w:p>
        </w:tc>
        <w:tc>
          <w:tcPr>
            <w:tcW w:type="dxa" w:w="2250"/>
          </w:tcPr>
          <w:p>
            <w:r>
              <w:rPr>
                <w:b w:val="false"/>
                <w:bCs w:val="false"/>
                <w:sz w:val="19"/>
                <w:szCs w:val="19"/>
              </w:rPr>
              <w:t xml:space="preserve">51 – 100</w:t>
            </w:r>
          </w:p>
        </w:tc>
        <w:tc>
          <w:tcPr>
            <w:tcW w:type="dxa" w:w="2250"/>
          </w:tcPr>
          <w:p>
            <w:r>
              <w:rPr>
                <w:b w:val="false"/>
                <w:bCs w:val="false"/>
                <w:sz w:val="19"/>
                <w:szCs w:val="19"/>
              </w:rPr>
              <w:t xml:space="preserve">$999.00</w:t>
            </w:r>
          </w:p>
        </w:tc>
        <w:tc>
          <w:tcPr>
            <w:tcW w:type="dxa" w:w="2250"/>
          </w:tcPr>
          <w:p>
            <w:r>
              <w:rPr>
                <w:b w:val="false"/>
                <w:bCs w:val="false"/>
                <w:sz w:val="19"/>
                <w:szCs w:val="19"/>
              </w:rPr>
              <w:t xml:space="preserve">$9,990.00</w:t>
            </w:r>
          </w:p>
        </w:tc>
      </w:tr>
      <w:tr>
        <w:tc>
          <w:tcPr>
            <w:tcW w:type="dxa" w:w="2250"/>
            <w:shd w:fill="EFEFEF" w:color="auto" w:val="clear"/>
          </w:tcPr>
          <w:p>
            <w:r>
              <w:rPr>
                <w:b/>
                <w:bCs/>
                <w:sz w:val="19"/>
                <w:szCs w:val="19"/>
              </w:rPr>
              <w:t xml:space="preserve">AmenityFit Scale</w:t>
            </w:r>
          </w:p>
        </w:tc>
        <w:tc>
          <w:tcPr>
            <w:tcW w:type="dxa" w:w="2250"/>
            <w:shd w:fill="EFEFEF" w:color="auto" w:val="clear"/>
          </w:tcPr>
          <w:p>
            <w:r>
              <w:rPr>
                <w:b w:val="false"/>
                <w:bCs w:val="false"/>
                <w:sz w:val="19"/>
                <w:szCs w:val="19"/>
              </w:rPr>
              <w:t xml:space="preserve">101 – 200</w:t>
            </w:r>
          </w:p>
        </w:tc>
        <w:tc>
          <w:tcPr>
            <w:tcW w:type="dxa" w:w="2250"/>
            <w:shd w:fill="EFEFEF" w:color="auto" w:val="clear"/>
          </w:tcPr>
          <w:p>
            <w:r>
              <w:rPr>
                <w:b w:val="false"/>
                <w:bCs w:val="false"/>
                <w:sz w:val="19"/>
                <w:szCs w:val="19"/>
              </w:rPr>
              <w:t xml:space="preserve">$1,499.00</w:t>
            </w:r>
          </w:p>
        </w:tc>
        <w:tc>
          <w:tcPr>
            <w:tcW w:type="dxa" w:w="2250"/>
            <w:shd w:fill="EFEFEF" w:color="auto" w:val="clear"/>
          </w:tcPr>
          <w:p>
            <w:r>
              <w:rPr>
                <w:b w:val="false"/>
                <w:bCs w:val="false"/>
                <w:sz w:val="19"/>
                <w:szCs w:val="19"/>
              </w:rPr>
              <w:t xml:space="preserve">$14,990.00</w:t>
            </w:r>
          </w:p>
        </w:tc>
      </w:tr>
      <w:tr>
        <w:tc>
          <w:tcPr>
            <w:tcW w:type="dxa" w:w="2250"/>
          </w:tcPr>
          <w:p>
            <w:r>
              <w:rPr>
                <w:b/>
                <w:bCs/>
                <w:sz w:val="19"/>
                <w:szCs w:val="19"/>
              </w:rPr>
              <w:t xml:space="preserve">AmenityFit Pro</w:t>
            </w:r>
          </w:p>
        </w:tc>
        <w:tc>
          <w:tcPr>
            <w:tcW w:type="dxa" w:w="2250"/>
          </w:tcPr>
          <w:p>
            <w:r>
              <w:rPr>
                <w:b w:val="false"/>
                <w:bCs w:val="false"/>
                <w:sz w:val="19"/>
                <w:szCs w:val="19"/>
              </w:rPr>
              <w:t xml:space="preserve">201 – 300</w:t>
            </w:r>
          </w:p>
        </w:tc>
        <w:tc>
          <w:tcPr>
            <w:tcW w:type="dxa" w:w="2250"/>
          </w:tcPr>
          <w:p>
            <w:r>
              <w:rPr>
                <w:b w:val="false"/>
                <w:bCs w:val="false"/>
                <w:sz w:val="19"/>
                <w:szCs w:val="19"/>
              </w:rPr>
              <w:t xml:space="preserve">$1,999.00</w:t>
            </w:r>
          </w:p>
        </w:tc>
        <w:tc>
          <w:tcPr>
            <w:tcW w:type="dxa" w:w="2250"/>
          </w:tcPr>
          <w:p>
            <w:r>
              <w:rPr>
                <w:b w:val="false"/>
                <w:bCs w:val="false"/>
                <w:sz w:val="19"/>
                <w:szCs w:val="19"/>
              </w:rPr>
              <w:t xml:space="preserve">$19,990.00</w:t>
            </w:r>
          </w:p>
        </w:tc>
      </w:tr>
      <w:tr>
        <w:tc>
          <w:tcPr>
            <w:tcW w:type="dxa" w:w="2250"/>
            <w:shd w:fill="EFEFEF" w:color="auto" w:val="clear"/>
          </w:tcPr>
          <w:p>
            <w:r>
              <w:rPr>
                <w:b/>
                <w:bCs/>
                <w:sz w:val="19"/>
                <w:szCs w:val="19"/>
              </w:rPr>
              <w:t xml:space="preserve">AmenityFit Enterprise</w:t>
            </w:r>
          </w:p>
        </w:tc>
        <w:tc>
          <w:tcPr>
            <w:tcW w:type="dxa" w:w="2250"/>
            <w:shd w:fill="EFEFEF" w:color="auto" w:val="clear"/>
          </w:tcPr>
          <w:p>
            <w:r>
              <w:rPr>
                <w:b w:val="false"/>
                <w:bCs w:val="false"/>
                <w:sz w:val="19"/>
                <w:szCs w:val="19"/>
              </w:rPr>
              <w:t xml:space="preserve">301 – 500</w:t>
            </w:r>
          </w:p>
        </w:tc>
        <w:tc>
          <w:tcPr>
            <w:tcW w:type="dxa" w:w="2250"/>
            <w:shd w:fill="EFEFEF" w:color="auto" w:val="clear"/>
          </w:tcPr>
          <w:p>
            <w:r>
              <w:rPr>
                <w:b w:val="false"/>
                <w:bCs w:val="false"/>
                <w:sz w:val="19"/>
                <w:szCs w:val="19"/>
              </w:rPr>
              <w:t xml:space="preserve">$2,799.00</w:t>
            </w:r>
          </w:p>
        </w:tc>
        <w:tc>
          <w:tcPr>
            <w:tcW w:type="dxa" w:w="2250"/>
            <w:shd w:fill="EFEFEF" w:color="auto" w:val="clear"/>
          </w:tcPr>
          <w:p>
            <w:r>
              <w:rPr>
                <w:b w:val="false"/>
                <w:bCs w:val="false"/>
                <w:sz w:val="19"/>
                <w:szCs w:val="19"/>
              </w:rPr>
              <w:t xml:space="preserve">$27,990.00</w:t>
            </w:r>
          </w:p>
        </w:tc>
      </w:tr>
      <w:tr>
        <w:tc>
          <w:tcPr>
            <w:tcW w:type="dxa" w:w="2250"/>
          </w:tcPr>
          <w:p>
            <w:r>
              <w:rPr>
                <w:b/>
                <w:bCs/>
                <w:sz w:val="19"/>
                <w:szCs w:val="19"/>
              </w:rPr>
              <w:t xml:space="preserve">AmenityFit Enterprise+</w:t>
            </w:r>
          </w:p>
        </w:tc>
        <w:tc>
          <w:tcPr>
            <w:tcW w:type="dxa" w:w="2250"/>
          </w:tcPr>
          <w:p>
            <w:r>
              <w:rPr>
                <w:b w:val="false"/>
                <w:bCs w:val="false"/>
                <w:sz w:val="19"/>
                <w:szCs w:val="19"/>
              </w:rPr>
              <w:t xml:space="preserve">501 – 1,000</w:t>
            </w:r>
          </w:p>
        </w:tc>
        <w:tc>
          <w:tcPr>
            <w:tcW w:type="dxa" w:w="2250"/>
          </w:tcPr>
          <w:p>
            <w:r>
              <w:rPr>
                <w:b w:val="false"/>
                <w:bCs w:val="false"/>
                <w:sz w:val="19"/>
                <w:szCs w:val="19"/>
              </w:rPr>
              <w:t xml:space="preserve">$3,999.00</w:t>
            </w:r>
          </w:p>
        </w:tc>
        <w:tc>
          <w:tcPr>
            <w:tcW w:type="dxa" w:w="2250"/>
          </w:tcPr>
          <w:p>
            <w:r>
              <w:rPr>
                <w:b w:val="false"/>
                <w:bCs w:val="false"/>
                <w:sz w:val="19"/>
                <w:szCs w:val="19"/>
              </w:rPr>
              <w:t xml:space="preserve">$39,990.00</w:t>
            </w:r>
          </w:p>
        </w:tc>
      </w:tr>
    </w:tbl>
    <w:p>
      <w:pPr>
        <w:spacing w:before="500"/>
      </w:pPr>
    </w:p>
    <w:p>
      <w:pPr>
        <w:pStyle w:val="Heading2"/>
        <w:spacing w:after="120" w:before="240"/>
      </w:pPr>
      <w:r>
        <w:rPr>
          <w:b/>
          <w:bCs/>
          <w:sz w:val="23"/>
          <w:szCs w:val="23"/>
        </w:rPr>
        <w:t xml:space="preserve">Portfolio Volume Discount Schedule</w:t>
      </w:r>
    </w:p>
    <w:p>
      <w:pPr>
        <w:spacing w:after="160" w:line="276"/>
      </w:pPr>
      <w:r>
        <w:rPr>
          <w:sz w:val="21"/>
          <w:szCs w:val="21"/>
        </w:rPr>
        <w:t xml:space="preserve">Where Client commits multiple Buildings under this Agreement, whether at signing or cumulatively across one or more Order Forms (see Exhibit B), the following discounts apply to the aggregate standard Fees otherwise payable across all such Buildings, based on the total number of Buildings then covered:</w:t>
      </w:r>
    </w:p>
    <w:p>
      <w:pPr>
        <w:spacing w:after="3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4500"/>
      </w:tblGrid>
      <w:tr>
        <w:trPr>
          <w:tblHeader/>
        </w:trPr>
        <w:tc>
          <w:tcPr>
            <w:tcW w:type="dxa" w:w="2250"/>
            <w:shd w:fill="1A1A2E" w:color="auto" w:val="clear"/>
          </w:tcPr>
          <w:p>
            <w:r>
              <w:rPr>
                <w:b/>
                <w:bCs/>
                <w:color w:val="FFFFFF"/>
                <w:sz w:val="19"/>
                <w:szCs w:val="19"/>
              </w:rPr>
              <w:t xml:space="preserve">Buildings Committed</w:t>
            </w:r>
          </w:p>
        </w:tc>
        <w:tc>
          <w:tcPr>
            <w:tcW w:type="dxa" w:w="2250"/>
            <w:shd w:fill="1A1A2E" w:color="auto" w:val="clear"/>
          </w:tcPr>
          <w:p>
            <w:r>
              <w:rPr>
                <w:b/>
                <w:bCs/>
                <w:color w:val="FFFFFF"/>
                <w:sz w:val="19"/>
                <w:szCs w:val="19"/>
              </w:rPr>
              <w:t xml:space="preserve">Discount</w:t>
            </w:r>
          </w:p>
        </w:tc>
        <w:tc>
          <w:tcPr>
            <w:tcW w:type="dxa" w:w="2250"/>
            <w:shd w:fill="1A1A2E" w:color="auto" w:val="clear"/>
          </w:tcPr>
          <w:p>
            <w:r>
              <w:rPr>
                <w:b/>
                <w:bCs/>
                <w:color w:val="FFFFFF"/>
                <w:sz w:val="19"/>
                <w:szCs w:val="19"/>
              </w:rPr>
              <w:t xml:space="preserve">Applies To</w:t>
            </w:r>
          </w:p>
        </w:tc>
      </w:tr>
      <w:tr>
        <w:tc>
          <w:tcPr>
            <w:tcW w:type="dxa" w:w="2250"/>
            <w:shd/>
          </w:tcPr>
          <w:p>
            <w:r>
              <w:rPr>
                <w:b/>
                <w:bCs/>
                <w:color w:val="000000"/>
                <w:sz w:val="19"/>
                <w:szCs w:val="19"/>
              </w:rPr>
              <w:t xml:space="preserve">1 – 4 Buildings</w:t>
            </w:r>
          </w:p>
        </w:tc>
        <w:tc>
          <w:tcPr>
            <w:tcW w:type="dxa" w:w="2250"/>
            <w:shd/>
          </w:tcPr>
          <w:p>
            <w:r>
              <w:rPr>
                <w:b w:val="false"/>
                <w:bCs w:val="false"/>
                <w:color w:val="000000"/>
                <w:sz w:val="19"/>
                <w:szCs w:val="19"/>
              </w:rPr>
              <w:t xml:space="preserve">Standard rate</w:t>
            </w:r>
          </w:p>
        </w:tc>
        <w:tc>
          <w:tcPr>
            <w:tcW w:type="dxa" w:w="2250"/>
            <w:shd/>
          </w:tcPr>
          <w:p>
            <w:r>
              <w:rPr>
                <w:b w:val="false"/>
                <w:bCs w:val="false"/>
                <w:color w:val="000000"/>
                <w:sz w:val="19"/>
                <w:szCs w:val="19"/>
              </w:rPr>
              <w:t xml:space="preserve">Standard per-Building tier pricing (above)</w:t>
            </w:r>
          </w:p>
        </w:tc>
      </w:tr>
      <w:tr>
        <w:tc>
          <w:tcPr>
            <w:tcW w:type="dxa" w:w="2250"/>
            <w:shd/>
          </w:tcPr>
          <w:p>
            <w:r>
              <w:rPr>
                <w:b/>
                <w:bCs/>
                <w:color w:val="000000"/>
                <w:sz w:val="19"/>
                <w:szCs w:val="19"/>
              </w:rPr>
              <w:t xml:space="preserve">5 – 9 Buildings</w:t>
            </w:r>
          </w:p>
        </w:tc>
        <w:tc>
          <w:tcPr>
            <w:tcW w:type="dxa" w:w="2250"/>
            <w:shd/>
          </w:tcPr>
          <w:p>
            <w:r>
              <w:rPr>
                <w:b w:val="false"/>
                <w:bCs w:val="false"/>
                <w:color w:val="000000"/>
                <w:sz w:val="19"/>
                <w:szCs w:val="19"/>
              </w:rPr>
              <w:t xml:space="preserve">20%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10 – 19 Buildings</w:t>
            </w:r>
          </w:p>
        </w:tc>
        <w:tc>
          <w:tcPr>
            <w:tcW w:type="dxa" w:w="2250"/>
            <w:shd/>
          </w:tcPr>
          <w:p>
            <w:r>
              <w:rPr>
                <w:b w:val="false"/>
                <w:bCs w:val="false"/>
                <w:color w:val="000000"/>
                <w:sz w:val="19"/>
                <w:szCs w:val="19"/>
              </w:rPr>
              <w:t xml:space="preserve">22.5%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20 – 39 Buildings</w:t>
            </w:r>
          </w:p>
        </w:tc>
        <w:tc>
          <w:tcPr>
            <w:tcW w:type="dxa" w:w="2250"/>
            <w:shd/>
          </w:tcPr>
          <w:p>
            <w:r>
              <w:rPr>
                <w:b w:val="false"/>
                <w:bCs w:val="false"/>
                <w:color w:val="000000"/>
                <w:sz w:val="19"/>
                <w:szCs w:val="19"/>
              </w:rPr>
              <w:t xml:space="preserve">24.2% off aggregate</w:t>
            </w:r>
          </w:p>
        </w:tc>
        <w:tc>
          <w:tcPr>
            <w:tcW w:type="dxa" w:w="2250"/>
            <w:shd/>
          </w:tcPr>
          <w:p>
            <w:r>
              <w:rPr>
                <w:b w:val="false"/>
                <w:bCs w:val="false"/>
                <w:color w:val="000000"/>
                <w:sz w:val="19"/>
                <w:szCs w:val="19"/>
              </w:rPr>
              <w:t xml:space="preserve">Sum of each Building's tier Monthly Fee × 12 (regardless of billing frequency)</w:t>
            </w:r>
          </w:p>
        </w:tc>
      </w:tr>
      <w:tr>
        <w:tc>
          <w:tcPr>
            <w:tcW w:type="dxa" w:w="2250"/>
            <w:shd/>
          </w:tcPr>
          <w:p>
            <w:r>
              <w:rPr>
                <w:b/>
                <w:bCs/>
                <w:color w:val="000000"/>
                <w:sz w:val="19"/>
                <w:szCs w:val="19"/>
              </w:rPr>
              <w:t xml:space="preserve">40+ Buildings</w:t>
            </w:r>
          </w:p>
        </w:tc>
        <w:tc>
          <w:tcPr>
            <w:tcW w:type="dxa" w:w="2250"/>
            <w:shd/>
          </w:tcPr>
          <w:p>
            <w:r>
              <w:rPr>
                <w:b w:val="false"/>
                <w:bCs w:val="false"/>
                <w:color w:val="000000"/>
                <w:sz w:val="19"/>
                <w:szCs w:val="19"/>
              </w:rPr>
              <w:t xml:space="preserve">26.7% off aggregate, or custom</w:t>
            </w:r>
          </w:p>
        </w:tc>
        <w:tc>
          <w:tcPr>
            <w:tcW w:type="dxa" w:w="2250"/>
            <w:shd/>
          </w:tcPr>
          <w:p>
            <w:r>
              <w:rPr>
                <w:b w:val="false"/>
                <w:bCs w:val="false"/>
                <w:color w:val="000000"/>
                <w:sz w:val="19"/>
                <w:szCs w:val="19"/>
              </w:rPr>
              <w:t xml:space="preserve">Sum of each Building's tier Monthly Fee × 12 (regardless of billing frequency), or as separately negotiated</w:t>
            </w:r>
          </w:p>
        </w:tc>
      </w:tr>
    </w:tbl>
    <w:p>
      <w:pPr>
        <w:spacing w:before="400"/>
      </w:pPr>
    </w:p>
    <w:p>
      <w:pPr>
        <w:spacing w:after="160" w:line="276"/>
      </w:pPr>
      <w:r>
        <w:rPr>
          <w:sz w:val="21"/>
          <w:szCs w:val="21"/>
        </w:rPr>
        <w:t xml:space="preserve">The specific Building(s) covered under this Agreement, including any portfolio of multiple Buildings, are listed on one or more Order Forms in the form of Exhibit B, which are incorporated into and form part of this Agreement upon execution.</w:t>
      </w:r>
    </w:p>
    <w:p>
      <w:r>
        <w:br w:type="page"/>
      </w:r>
    </w:p>
    <w:p>
      <w:pPr>
        <w:pStyle w:val="Heading1"/>
        <w:spacing w:after="160" w:before="360"/>
      </w:pPr>
      <w:r>
        <w:rPr>
          <w:b/>
          <w:bCs/>
          <w:sz w:val="26"/>
          <w:szCs w:val="26"/>
        </w:rPr>
        <w:t xml:space="preserve">EXHIBIT B — ORDER FORM</w:t>
      </w:r>
    </w:p>
    <w:p>
      <w:pPr>
        <w:spacing w:after="160" w:line="276"/>
      </w:pPr>
      <w:r>
        <w:rPr>
          <w:sz w:val="21"/>
          <w:szCs w:val="21"/>
        </w:rPr>
        <w:t xml:space="preserve">This Order Form is entered into pursuant to, and is governed by, the Master Services Agreement between Fitmakesenz LLC, d/b/a AmenityFit ("Company"), and Client identified below. Capitalized terms not defined herein have the meanings given in the Master Services Agreement. Where Client's total Building count under the Master Services Agreement (including this Order Form) qualifies for a Portfolio Volume Discount under Exhibit A, that discount applies to the aggregate Fees below.</w:t>
      </w:r>
    </w:p>
    <w:p>
      <w:pPr>
        <w:spacing w:before="200"/>
      </w:pPr>
    </w:p>
    <w:p>
      <w:pPr>
        <w:spacing w:after="160" w:line="276"/>
      </w:pPr>
      <w:r>
        <w:rPr>
          <w:sz w:val="21"/>
          <w:szCs w:val="21"/>
        </w:rPr>
        <w:t xml:space="preserve">Order Form No.: _______________          Date: _______________</w:t>
      </w:r>
    </w:p>
    <w:p>
      <w:pPr>
        <w:spacing w:after="160" w:line="276"/>
      </w:pPr>
      <w:r>
        <w:rPr>
          <w:sz w:val="21"/>
          <w:szCs w:val="21"/>
        </w:rPr>
        <w:t xml:space="preserve">Client (Company / Building Name): _______________________________________________</w:t>
      </w:r>
    </w:p>
    <w:p>
      <w:pPr>
        <w:spacing w:after="200"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4"/>
        <w:gridCol w:w="2534"/>
        <w:gridCol w:w="691"/>
        <w:gridCol w:w="998"/>
        <w:gridCol w:w="845"/>
        <w:gridCol w:w="1397"/>
      </w:tblGrid>
      <w:tr>
        <w:trPr>
          <w:tblHeader/>
        </w:trPr>
        <w:tc>
          <w:tcPr>
            <w:tcW w:type="dxa" w:w="2534"/>
            <w:shd w:fill="1A1A2E" w:color="auto" w:val="clear"/>
          </w:tcPr>
          <w:p>
            <w:r>
              <w:rPr>
                <w:b/>
                <w:bCs/>
                <w:color w:val="FFFFFF"/>
                <w:sz w:val="16"/>
                <w:szCs w:val="16"/>
              </w:rPr>
              <w:t xml:space="preserve">Building / Property Name</w:t>
            </w:r>
          </w:p>
        </w:tc>
        <w:tc>
          <w:tcPr>
            <w:tcW w:type="dxa" w:w="2534"/>
            <w:shd w:fill="1A1A2E" w:color="auto" w:val="clear"/>
          </w:tcPr>
          <w:p>
            <w:r>
              <w:rPr>
                <w:b/>
                <w:bCs/>
                <w:color w:val="FFFFFF"/>
                <w:sz w:val="16"/>
                <w:szCs w:val="16"/>
              </w:rPr>
              <w:t xml:space="preserve">Address</w:t>
            </w:r>
          </w:p>
        </w:tc>
        <w:tc>
          <w:tcPr>
            <w:tcW w:type="dxa" w:w="691"/>
            <w:shd w:fill="1A1A2E" w:color="auto" w:val="clear"/>
          </w:tcPr>
          <w:p>
            <w:r>
              <w:rPr>
                <w:b/>
                <w:bCs/>
                <w:color w:val="FFFFFF"/>
                <w:sz w:val="16"/>
                <w:szCs w:val="16"/>
              </w:rPr>
              <w:t xml:space="preserve">Unit Count</w:t>
            </w:r>
          </w:p>
        </w:tc>
        <w:tc>
          <w:tcPr>
            <w:tcW w:type="dxa" w:w="998"/>
            <w:shd w:fill="1A1A2E" w:color="auto" w:val="clear"/>
          </w:tcPr>
          <w:p>
            <w:r>
              <w:rPr>
                <w:b/>
                <w:bCs/>
                <w:color w:val="FFFFFF"/>
                <w:sz w:val="16"/>
                <w:szCs w:val="16"/>
              </w:rPr>
              <w:t xml:space="preserve">Tier</w:t>
            </w:r>
          </w:p>
        </w:tc>
        <w:tc>
          <w:tcPr>
            <w:tcW w:type="dxa" w:w="845"/>
            <w:shd w:fill="1A1A2E" w:color="auto" w:val="clear"/>
          </w:tcPr>
          <w:p>
            <w:r>
              <w:rPr>
                <w:b/>
                <w:bCs/>
                <w:color w:val="FFFFFF"/>
                <w:sz w:val="16"/>
                <w:szCs w:val="16"/>
              </w:rPr>
              <w:t xml:space="preserve">Billing Frequency</w:t>
            </w:r>
          </w:p>
        </w:tc>
        <w:tc>
          <w:tcPr>
            <w:tcW w:type="dxa" w:w="1397"/>
            <w:shd w:fill="1A1A2E" w:color="auto" w:val="clear"/>
          </w:tcPr>
          <w:p>
            <w:r>
              <w:rPr>
                <w:b/>
                <w:bCs/>
                <w:color w:val="FFFFFF"/>
                <w:sz w:val="16"/>
                <w:szCs w:val="16"/>
              </w:rPr>
              <w:t xml:space="preserve">Service Start Date</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r>
        <w:trPr>
          <w:trHeight w:val="420" w:hRule="atLeast"/>
        </w:trPr>
        <w:tc>
          <w:tcPr>
            <w:tcW w:type="dxa" w:w="2534"/>
          </w:tcPr>
          <w:p>
            <w:r>
              <w:rPr>
                <w:sz w:val="15"/>
                <w:szCs w:val="15"/>
              </w:rPr>
              <w:t xml:space="preserve"> </w:t>
            </w:r>
          </w:p>
        </w:tc>
        <w:tc>
          <w:tcPr>
            <w:tcW w:type="dxa" w:w="2534"/>
          </w:tcPr>
          <w:p>
            <w:r>
              <w:rPr>
                <w:sz w:val="15"/>
                <w:szCs w:val="15"/>
              </w:rPr>
              <w:t xml:space="preserve"> </w:t>
            </w:r>
          </w:p>
        </w:tc>
        <w:tc>
          <w:tcPr>
            <w:tcW w:type="dxa" w:w="691"/>
          </w:tcPr>
          <w:p>
            <w:r>
              <w:rPr>
                <w:sz w:val="15"/>
                <w:szCs w:val="15"/>
              </w:rPr>
              <w:t xml:space="preserve"> </w:t>
            </w:r>
          </w:p>
        </w:tc>
        <w:tc>
          <w:tcPr>
            <w:tcW w:type="dxa" w:w="998"/>
          </w:tcPr>
          <w:p>
            <w:r>
              <w:rPr>
                <w:sz w:val="15"/>
                <w:szCs w:val="15"/>
              </w:rPr>
              <w:t xml:space="preserve"> </w:t>
            </w:r>
          </w:p>
        </w:tc>
        <w:tc>
          <w:tcPr>
            <w:tcW w:type="dxa" w:w="845"/>
          </w:tcPr>
          <w:p>
            <w:r>
              <w:rPr>
                <w:sz w:val="15"/>
                <w:szCs w:val="15"/>
              </w:rPr>
              <w:t xml:space="preserve"> </w:t>
            </w:r>
          </w:p>
        </w:tc>
        <w:tc>
          <w:tcPr>
            <w:tcW w:type="dxa" w:w="1397"/>
          </w:tcPr>
          <w:p>
            <w:r>
              <w:rPr>
                <w:sz w:val="15"/>
                <w:szCs w:val="15"/>
              </w:rPr>
              <w:t xml:space="preserve"> </w:t>
            </w:r>
          </w:p>
        </w:tc>
      </w:tr>
    </w:tbl>
    <w:p>
      <w:pPr>
        <w:spacing w:before="400"/>
      </w:pPr>
    </w:p>
    <w:p>
      <w:pPr>
        <w:spacing w:after="160" w:line="276"/>
      </w:pPr>
      <w:r>
        <w:rPr>
          <w:sz w:val="21"/>
          <w:szCs w:val="21"/>
        </w:rPr>
        <w:t xml:space="preserve">Total Buildings on this Order Form: </w:t>
      </w:r>
      <w:r>
        <w:rPr>
          <w:color w:val="FFFFFF"/>
          <w:sz w:val="21"/>
          <w:szCs w:val="21"/>
        </w:rPr>
        <w:t xml:space="preserve">{{text:2:y:::order_form_total_buildings:100:20}}</w:t>
      </w:r>
      <w:r>
        <w:rPr>
          <w:sz w:val="21"/>
          <w:szCs w:val="21"/>
        </w:rPr>
        <w:t xml:space="preserve">     Total Buildings Across All Order Forms Under This Agreement: </w:t>
      </w:r>
      <w:r>
        <w:rPr>
          <w:color w:val="FFFFFF"/>
          <w:sz w:val="21"/>
          <w:szCs w:val="21"/>
        </w:rPr>
        <w:t xml:space="preserve">{{text:2:y:::order_form_total_buildings_all:60:20}}</w:t>
      </w:r>
    </w:p>
    <w:p>
      <w:pPr>
        <w:spacing w:after="160" w:line="276"/>
      </w:pPr>
      <w:r>
        <w:rPr>
          <w:sz w:val="21"/>
          <w:szCs w:val="21"/>
        </w:rPr>
        <w:t xml:space="preserve">Applicable Portfolio Volume Discount (if any): </w:t>
      </w:r>
      <w:r>
        <w:rPr>
          <w:color w:val="FFFFFF"/>
          <w:sz w:val="21"/>
          <w:szCs w:val="21"/>
        </w:rPr>
        <w:t xml:space="preserve">{{text:2:n:::order_form_discount_pct:80:20}}</w:t>
      </w:r>
      <w:r>
        <w:rPr>
          <w:sz w:val="21"/>
          <w:szCs w:val="21"/>
        </w:rPr>
        <w:t xml:space="preserve">%</w:t>
      </w:r>
    </w:p>
    <w:p>
      <w:pPr>
        <w:spacing w:before="500"/>
      </w:pPr>
    </w:p>
    <w:p>
      <w:pPr>
        <w:pStyle w:val="Heading2"/>
        <w:spacing w:after="120" w:before="240"/>
      </w:pPr>
      <w:r>
        <w:rPr>
          <w:b/>
          <w:bCs/>
          <w:sz w:val="23"/>
          <w:szCs w:val="23"/>
        </w:rPr>
        <w:t xml:space="preserve">Acknowledged and Agreed:</w:t>
      </w:r>
    </w:p>
    <w:p>
      <w:pPr>
        <w:spacing w:after="160" w:line="276"/>
      </w:pPr>
      <w:r>
        <w:rPr>
          <w:sz w:val="21"/>
          <w:szCs w:val="21"/>
        </w:rPr>
        <w:t xml:space="preserve">FITMAKESENZ LLC, d/b/a AmenityFit          By: </w:t>
      </w:r>
      <w:r>
        <w:rPr>
          <w:color w:val="FFFFFF"/>
          <w:sz w:val="21"/>
          <w:szCs w:val="21"/>
        </w:rPr>
        <w:t xml:space="preserve">{{signature:1:y:::company_order_form_signature:150:32}}</w:t>
      </w:r>
      <w:r>
        <w:rPr>
          <w:sz w:val="21"/>
          <w:szCs w:val="21"/>
        </w:rPr>
        <w:t xml:space="preserve">  Date: </w:t>
      </w:r>
      <w:r>
        <w:rPr>
          <w:color w:val="FFFFFF"/>
          <w:sz w:val="21"/>
          <w:szCs w:val="21"/>
        </w:rPr>
        <w:t xml:space="preserve">{{date:1:y:::company_order_form_date:100:20}}</w:t>
      </w:r>
    </w:p>
    <w:p>
      <w:r>
        <w:br w:type="page"/>
      </w:r>
    </w:p>
    <w:p>
      <w:pPr>
        <w:spacing w:after="160" w:line="276"/>
      </w:pPr>
      <w:r>
        <w:rPr>
          <w:sz w:val="21"/>
          <w:szCs w:val="21"/>
        </w:rPr>
        <w:t xml:space="preserve">CLIENT          By: </w:t>
      </w:r>
      <w:r>
        <w:rPr>
          <w:color w:val="FFFFFF"/>
          <w:sz w:val="21"/>
          <w:szCs w:val="21"/>
        </w:rPr>
        <w:t xml:space="preserve">{{signature:2:y:::client_order_form_signature:150:32}}</w:t>
      </w:r>
      <w:r>
        <w:rPr>
          <w:sz w:val="21"/>
          <w:szCs w:val="21"/>
        </w:rPr>
        <w:t xml:space="preserve">  Date: </w:t>
      </w:r>
      <w:r>
        <w:rPr>
          <w:color w:val="FFFFFF"/>
          <w:sz w:val="21"/>
          <w:szCs w:val="21"/>
        </w:rPr>
        <w:t xml:space="preserve">{{date:2:y:::client_order_form_date:100:20}}</w:t>
      </w:r>
    </w:p>
    <w:p>
      <w:pPr>
        <w:spacing w:before="400"/>
      </w:pPr>
    </w:p>
    <w:p>
      <w:pPr>
        <w:spacing w:after="160" w:line="276"/>
      </w:pPr>
      <w:r>
        <w:rPr>
          <w:sz w:val="21"/>
          <w:szCs w:val="21"/>
        </w:rPr>
        <w:t xml:space="preserve">Additional Order Forms may be executed at any time to add further Buildings under this Agreement, without amending the Master Services Agreement itself, as described in Section 5.2.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AmenityFit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2026-07-30T00:53:04.532Z</dcterms:created>
  <dcterms:modified xsi:type="dcterms:W3CDTF">2026-07-30T00:53:04.546Z</dcterms:modified>
</cp:coreProperties>
</file>

<file path=docProps/custom.xml><?xml version="1.0" encoding="utf-8"?>
<Properties xmlns="http://schemas.openxmlformats.org/officeDocument/2006/custom-properties" xmlns:vt="http://schemas.openxmlformats.org/officeDocument/2006/docPropsVTypes"/>
</file>