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E61BE">
      <w:pPr>
        <w:spacing w:after="0" w:line="360" w:lineRule="auto"/>
        <w:jc w:val="center"/>
      </w:pPr>
      <w:r>
        <w:rPr>
          <w:rFonts w:ascii="Times New Roman" w:hAnsi="Times New Roman" w:eastAsia="黑体"/>
          <w:b/>
          <w:bCs/>
          <w:sz w:val="44"/>
          <w:szCs w:val="44"/>
        </w:rPr>
        <w:t>关于五冶集团有限公司安岳县2025年高标准农田建设项目（地方专项债券）农民工工资发放情况的说明</w:t>
      </w:r>
    </w:p>
    <w:p w14:paraId="66C743DA"/>
    <w:p w14:paraId="6765F8B7">
      <w:pPr>
        <w:spacing w:line="360" w:lineRule="auto"/>
        <w:ind w:firstLine="640"/>
        <w:jc w:val="both"/>
      </w:pPr>
      <w:r>
        <w:rPr>
          <w:rFonts w:ascii="Times New Roman" w:hAnsi="Times New Roman" w:eastAsia="仿宋_GB2312"/>
          <w:b w:val="0"/>
          <w:bCs w:val="0"/>
          <w:sz w:val="32"/>
          <w:szCs w:val="32"/>
        </w:rPr>
        <w:t>为如实反映安岳县2025年高标准农田建设项目（地方专项债券）农民工工资支付情况，对2025年4月、5月工资发放情况进行了梳理核对，现将有关情况说明如下：</w:t>
      </w:r>
    </w:p>
    <w:p w14:paraId="4AA26466">
      <w:pPr>
        <w:spacing w:line="360" w:lineRule="auto"/>
        <w:ind w:firstLine="640"/>
        <w:jc w:val="both"/>
      </w:pPr>
      <w:r>
        <w:rPr>
          <w:rFonts w:hint="eastAsia" w:ascii="Times New Roman" w:hAnsi="Times New Roman"/>
          <w:b w:val="0"/>
          <w:bCs w:val="0"/>
          <w:sz w:val="32"/>
          <w:szCs w:val="32"/>
          <w:lang w:val="en-US" w:eastAsia="zh-CN"/>
        </w:rPr>
        <w:t>按照</w:t>
      </w:r>
      <w:r>
        <w:rPr>
          <w:rFonts w:ascii="Times New Roman" w:hAnsi="Times New Roman" w:eastAsia="仿宋_GB2312"/>
          <w:b w:val="0"/>
          <w:bCs w:val="0"/>
          <w:sz w:val="32"/>
          <w:szCs w:val="32"/>
        </w:rPr>
        <w:t>2025年4月、5月农民工工资已按时足额发放</w:t>
      </w:r>
      <w:r>
        <w:rPr>
          <w:rFonts w:hint="eastAsia" w:ascii="Times New Roman" w:hAnsi="Times New Roman"/>
          <w:b w:val="0"/>
          <w:bCs w:val="0"/>
          <w:sz w:val="32"/>
          <w:szCs w:val="32"/>
          <w:lang w:val="en-US" w:eastAsia="zh-CN"/>
        </w:rPr>
        <w:t>的情况下</w:t>
      </w:r>
      <w:r>
        <w:rPr>
          <w:rFonts w:ascii="Times New Roman" w:hAnsi="Times New Roman" w:eastAsia="仿宋_GB2312"/>
          <w:b w:val="0"/>
          <w:bCs w:val="0"/>
          <w:sz w:val="32"/>
          <w:szCs w:val="32"/>
        </w:rPr>
        <w:t>。经与各班组逐一核对，截至目前尚有部分班组工资未结清，明细如下：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23"/>
        <w:gridCol w:w="4523"/>
      </w:tblGrid>
      <w:tr w14:paraId="6F49A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pct"/>
            <w:shd w:val="clear" w:color="auto" w:fill="D9D9D9"/>
            <w:vAlign w:val="center"/>
          </w:tcPr>
          <w:p w14:paraId="154A9C97">
            <w:pPr>
              <w:spacing w:line="320" w:lineRule="auto"/>
              <w:jc w:val="center"/>
            </w:pPr>
            <w:r>
              <w:rPr>
                <w:rFonts w:ascii="Times New Roman" w:hAnsi="Times New Roman" w:eastAsia="黑体"/>
                <w:b/>
                <w:bCs/>
                <w:sz w:val="28"/>
                <w:szCs w:val="28"/>
              </w:rPr>
              <w:t>班组</w:t>
            </w:r>
          </w:p>
        </w:tc>
        <w:tc>
          <w:tcPr>
            <w:tcW w:w="2500" w:type="pct"/>
            <w:shd w:val="clear" w:color="auto" w:fill="D9D9D9"/>
            <w:vAlign w:val="center"/>
          </w:tcPr>
          <w:p w14:paraId="06CEEAB7">
            <w:pPr>
              <w:spacing w:line="320" w:lineRule="auto"/>
              <w:jc w:val="center"/>
            </w:pPr>
            <w:r>
              <w:rPr>
                <w:rFonts w:ascii="Times New Roman" w:hAnsi="Times New Roman" w:eastAsia="黑体"/>
                <w:b/>
                <w:bCs/>
                <w:sz w:val="28"/>
                <w:szCs w:val="28"/>
              </w:rPr>
              <w:t>剩余未付金额（元）</w:t>
            </w:r>
          </w:p>
        </w:tc>
      </w:tr>
      <w:tr w14:paraId="6E7E4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vAlign w:val="center"/>
          </w:tcPr>
          <w:p w14:paraId="35E72F1C">
            <w:pPr>
              <w:spacing w:line="320" w:lineRule="auto"/>
              <w:jc w:val="center"/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周成习班组</w:t>
            </w:r>
          </w:p>
        </w:tc>
        <w:tc>
          <w:tcPr>
            <w:tcW w:w="2500" w:type="pct"/>
            <w:vAlign w:val="center"/>
          </w:tcPr>
          <w:p w14:paraId="0BCFC490">
            <w:pPr>
              <w:spacing w:line="320" w:lineRule="auto"/>
              <w:jc w:val="center"/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11986</w:t>
            </w:r>
          </w:p>
        </w:tc>
      </w:tr>
      <w:tr w14:paraId="14273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vAlign w:val="center"/>
          </w:tcPr>
          <w:p w14:paraId="05CA528A">
            <w:pPr>
              <w:spacing w:line="320" w:lineRule="auto"/>
              <w:jc w:val="center"/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何永兵班组</w:t>
            </w:r>
          </w:p>
        </w:tc>
        <w:tc>
          <w:tcPr>
            <w:tcW w:w="2500" w:type="pct"/>
            <w:vAlign w:val="center"/>
          </w:tcPr>
          <w:p w14:paraId="20943D84">
            <w:pPr>
              <w:spacing w:line="320" w:lineRule="auto"/>
              <w:jc w:val="center"/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21429</w:t>
            </w:r>
          </w:p>
        </w:tc>
      </w:tr>
      <w:tr w14:paraId="24516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vAlign w:val="center"/>
          </w:tcPr>
          <w:p w14:paraId="0955862F">
            <w:pPr>
              <w:spacing w:line="320" w:lineRule="auto"/>
              <w:jc w:val="center"/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彭松林</w:t>
            </w:r>
          </w:p>
        </w:tc>
        <w:tc>
          <w:tcPr>
            <w:tcW w:w="2500" w:type="pct"/>
            <w:vAlign w:val="center"/>
          </w:tcPr>
          <w:p w14:paraId="71AE0648">
            <w:pPr>
              <w:spacing w:line="320" w:lineRule="auto"/>
              <w:jc w:val="center"/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10198</w:t>
            </w:r>
          </w:p>
        </w:tc>
      </w:tr>
      <w:tr w14:paraId="0CFB0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shd w:val="clear" w:color="auto" w:fill="D9D9D9"/>
            <w:vAlign w:val="center"/>
          </w:tcPr>
          <w:p w14:paraId="3D888F4D">
            <w:pPr>
              <w:spacing w:line="320" w:lineRule="auto"/>
              <w:jc w:val="center"/>
            </w:pPr>
            <w:r>
              <w:rPr>
                <w:rFonts w:ascii="Times New Roman" w:hAnsi="Times New Roman" w:eastAsia="黑体"/>
                <w:b/>
                <w:bCs/>
                <w:sz w:val="28"/>
                <w:szCs w:val="28"/>
              </w:rPr>
              <w:t>合计</w:t>
            </w:r>
          </w:p>
        </w:tc>
        <w:tc>
          <w:tcPr>
            <w:tcW w:w="2500" w:type="pct"/>
            <w:shd w:val="clear" w:color="auto" w:fill="D9D9D9"/>
            <w:vAlign w:val="center"/>
          </w:tcPr>
          <w:p w14:paraId="66EC4E3D">
            <w:pPr>
              <w:spacing w:line="320" w:lineRule="auto"/>
              <w:jc w:val="center"/>
            </w:pPr>
            <w:r>
              <w:rPr>
                <w:rFonts w:ascii="Times New Roman" w:hAnsi="Times New Roman" w:eastAsia="黑体"/>
                <w:b/>
                <w:bCs/>
                <w:sz w:val="28"/>
                <w:szCs w:val="28"/>
              </w:rPr>
              <w:t>43613</w:t>
            </w:r>
          </w:p>
        </w:tc>
      </w:tr>
    </w:tbl>
    <w:p w14:paraId="4EE0219B"/>
    <w:p w14:paraId="0B70CA28">
      <w:pPr>
        <w:spacing w:line="360" w:lineRule="auto"/>
        <w:ind w:firstLine="640"/>
        <w:jc w:val="both"/>
      </w:pPr>
      <w:r>
        <w:rPr>
          <w:rFonts w:hint="eastAsia" w:ascii="Times New Roman" w:hAnsi="Times New Roman"/>
          <w:b w:val="0"/>
          <w:bCs w:val="0"/>
          <w:sz w:val="32"/>
          <w:szCs w:val="32"/>
          <w:lang w:val="en-US" w:eastAsia="zh-CN"/>
        </w:rPr>
        <w:t>为</w:t>
      </w:r>
      <w:r>
        <w:rPr>
          <w:rFonts w:ascii="Times New Roman" w:hAnsi="Times New Roman" w:eastAsia="仿宋_GB2312"/>
          <w:b w:val="0"/>
          <w:bCs w:val="0"/>
          <w:sz w:val="32"/>
          <w:szCs w:val="32"/>
        </w:rPr>
        <w:t>确保农民工工资足额支付到位，切实保障农民工合法权益。特此说明。</w:t>
      </w:r>
    </w:p>
    <w:p w14:paraId="76DB7902">
      <w:pPr>
        <w:spacing w:line="360" w:lineRule="auto"/>
        <w:ind w:firstLine="640"/>
        <w:jc w:val="both"/>
      </w:pPr>
    </w:p>
    <w:p w14:paraId="69B6E17B"/>
    <w:p w14:paraId="4EC3AB83">
      <w:pPr>
        <w:spacing w:line="360" w:lineRule="auto"/>
        <w:jc w:val="right"/>
      </w:pPr>
      <w:r>
        <w:rPr>
          <w:rFonts w:ascii="Times New Roman" w:hAnsi="Times New Roman" w:eastAsia="仿宋_GB2312"/>
          <w:b w:val="0"/>
          <w:bCs w:val="0"/>
          <w:sz w:val="32"/>
          <w:szCs w:val="32"/>
        </w:rPr>
        <w:t>说明人：______________</w:t>
      </w:r>
    </w:p>
    <w:p w14:paraId="500B4FEF">
      <w:pPr>
        <w:spacing w:line="360" w:lineRule="auto"/>
        <w:jc w:val="right"/>
      </w:pPr>
      <w:r>
        <w:rPr>
          <w:rFonts w:ascii="Times New Roman" w:hAnsi="Times New Roman" w:eastAsia="仿宋_GB2312"/>
          <w:b w:val="0"/>
          <w:bCs w:val="0"/>
          <w:sz w:val="32"/>
          <w:szCs w:val="32"/>
        </w:rPr>
        <w:t>日期：____</w:t>
      </w:r>
      <w:bookmarkStart w:id="0" w:name="_GoBack"/>
      <w:bookmarkEnd w:id="0"/>
      <w:r>
        <w:rPr>
          <w:rFonts w:ascii="Times New Roman" w:hAnsi="Times New Roman" w:eastAsia="仿宋_GB2312"/>
          <w:b w:val="0"/>
          <w:bCs w:val="0"/>
          <w:sz w:val="32"/>
          <w:szCs w:val="32"/>
        </w:rPr>
        <w:t>__________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192305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仿宋_GB2312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仿宋_GB2312"/>
    </w:rPr>
  </w:style>
  <w:style w:type="paragraph" w:styleId="2">
    <w:name w:val="heading 1"/>
    <w:next w:val="1"/>
    <w:qFormat/>
    <w:uiPriority w:val="0"/>
    <w:rPr>
      <w:rFonts w:eastAsia="仿宋_GB2312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eastAsia="仿宋_GB2312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eastAsia="仿宋_GB2312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eastAsia="仿宋_GB2312"/>
      <w:i/>
      <w:iCs/>
      <w:color w:val="2E74B5"/>
    </w:rPr>
  </w:style>
  <w:style w:type="paragraph" w:styleId="6">
    <w:name w:val="heading 5"/>
    <w:next w:val="1"/>
    <w:qFormat/>
    <w:uiPriority w:val="0"/>
    <w:rPr>
      <w:rFonts w:eastAsia="仿宋_GB2312"/>
      <w:color w:val="2E74B5"/>
    </w:rPr>
  </w:style>
  <w:style w:type="paragraph" w:styleId="7">
    <w:name w:val="heading 6"/>
    <w:next w:val="1"/>
    <w:qFormat/>
    <w:uiPriority w:val="0"/>
    <w:rPr>
      <w:rFonts w:eastAsia="仿宋_GB2312"/>
      <w:color w:val="1F4D78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eastAsia="仿宋_GB2312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eastAsia="仿宋_GB2312"/>
      <w:sz w:val="20"/>
      <w:szCs w:val="20"/>
    </w:rPr>
  </w:style>
  <w:style w:type="paragraph" w:styleId="10">
    <w:name w:val="Title"/>
    <w:qFormat/>
    <w:uiPriority w:val="0"/>
    <w:rPr>
      <w:rFonts w:eastAsia="仿宋_GB2312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eastAsia="仿宋_GB231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267</Words>
  <Characters>321</Characters>
  <TotalTime>1</TotalTime>
  <ScaleCrop>false</ScaleCrop>
  <LinksUpToDate>false</LinksUpToDate>
  <CharactersWithSpaces>321</CharactersWithSpaces>
  <Application>WPS Office_12.1.0.28022_F1E327BC-269C-435d-A152-05C5408002CA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2026-08-18T08:27:00Z</dcterms:created>
  <dc:creator>Amer-CN</dc:creator>
  <cp:lastModifiedBy>Amer</cp:lastModifiedBy>
  <dcterms:modified xsi:type="dcterms:W3CDTF">2026-08-18T08:43:44Z</dcterms:modified>
  <dc:title>关于五冶集团有限公司安岳县2025年高标准农田建设项目（地方专项债券）农民工工资发放情况的说明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eyJoZGlkIjoiN2I5YzcyNTZmMzgyMDFjYmVlZWIwN2FmM2RhMjU3NGIiLCJ1c2VySWQiOiIxMDA3NDg2OCJ9</vt:lpwstr>
  </property>
  <property fmtid="{D5CDD505-2E9C-101B-9397-08002B2CF9AE}" pid="3" name="KSOProductBuildVer">
    <vt:lpwstr>2052-12.1.0.28022</vt:lpwstr>
  </property>
  <property fmtid="{D5CDD505-2E9C-101B-9397-08002B2CF9AE}" pid="4" name="ICV">
    <vt:lpwstr>03849946D8524F5CB3CB97311FC79CA0_12</vt:lpwstr>
  </property>
</Properties>
</file>