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8B45B2" w14:textId="5F3EEA10" w:rsidR="004532AE" w:rsidRPr="00814236" w:rsidRDefault="00994CC7" w:rsidP="00141F1C">
      <w:pPr>
        <w:rPr>
          <w:rFonts w:cs="Times New Roman"/>
          <w:b/>
          <w:sz w:val="36"/>
          <w:szCs w:val="36"/>
        </w:rPr>
      </w:pPr>
      <w:r w:rsidRPr="00814236">
        <w:rPr>
          <w:rFonts w:cs="Times New Roman"/>
          <w:b/>
          <w:sz w:val="36"/>
          <w:szCs w:val="36"/>
        </w:rPr>
        <w:t>Simul</w:t>
      </w:r>
      <w:r w:rsidR="00E9505D" w:rsidRPr="00814236">
        <w:rPr>
          <w:rFonts w:cs="Times New Roman"/>
          <w:b/>
          <w:sz w:val="36"/>
          <w:szCs w:val="36"/>
        </w:rPr>
        <w:t xml:space="preserve">ation of </w:t>
      </w:r>
      <w:r w:rsidR="008621F6" w:rsidRPr="00814236">
        <w:rPr>
          <w:rFonts w:cs="Times New Roman"/>
          <w:b/>
          <w:sz w:val="36"/>
          <w:szCs w:val="36"/>
        </w:rPr>
        <w:t xml:space="preserve">a </w:t>
      </w:r>
      <w:r w:rsidR="00B81FFF" w:rsidRPr="00814236">
        <w:rPr>
          <w:rFonts w:cs="Times New Roman"/>
          <w:b/>
          <w:sz w:val="36"/>
          <w:szCs w:val="36"/>
        </w:rPr>
        <w:t xml:space="preserve">controlled </w:t>
      </w:r>
      <w:r w:rsidR="00E9505D" w:rsidRPr="00814236">
        <w:rPr>
          <w:rFonts w:cs="Times New Roman"/>
          <w:b/>
          <w:sz w:val="36"/>
          <w:szCs w:val="36"/>
        </w:rPr>
        <w:t xml:space="preserve">water heating system with </w:t>
      </w:r>
      <w:r w:rsidR="00B438F0" w:rsidRPr="00814236">
        <w:rPr>
          <w:rFonts w:cs="Times New Roman"/>
          <w:b/>
          <w:sz w:val="36"/>
          <w:szCs w:val="36"/>
        </w:rPr>
        <w:t xml:space="preserve">demand response </w:t>
      </w:r>
      <w:r w:rsidR="00F179B6" w:rsidRPr="00814236">
        <w:rPr>
          <w:rFonts w:cs="Times New Roman"/>
          <w:b/>
          <w:sz w:val="36"/>
          <w:szCs w:val="36"/>
        </w:rPr>
        <w:t>remunerated</w:t>
      </w:r>
      <w:r w:rsidR="00B438F0" w:rsidRPr="00814236">
        <w:rPr>
          <w:rFonts w:cs="Times New Roman"/>
          <w:b/>
          <w:sz w:val="36"/>
          <w:szCs w:val="36"/>
        </w:rPr>
        <w:t xml:space="preserve"> on imbalance market</w:t>
      </w:r>
      <w:r w:rsidR="00F179B6" w:rsidRPr="00814236">
        <w:rPr>
          <w:rFonts w:cs="Times New Roman"/>
          <w:b/>
          <w:sz w:val="36"/>
          <w:szCs w:val="36"/>
        </w:rPr>
        <w:t xml:space="preserve"> pricing</w:t>
      </w:r>
      <w:r w:rsidR="00B438F0" w:rsidRPr="00814236">
        <w:rPr>
          <w:rFonts w:cs="Times New Roman"/>
          <w:b/>
          <w:sz w:val="36"/>
          <w:szCs w:val="36"/>
        </w:rPr>
        <w:t>.</w:t>
      </w:r>
    </w:p>
    <w:p w14:paraId="66AD92B5" w14:textId="094DE18A" w:rsidR="008E1A20" w:rsidRPr="000E5ADA" w:rsidRDefault="004532AE" w:rsidP="00141F1C">
      <w:pPr>
        <w:rPr>
          <w:rFonts w:cs="Times New Roman"/>
          <w:lang w:val="nl-NL"/>
        </w:rPr>
      </w:pPr>
      <w:r w:rsidRPr="000E5ADA">
        <w:rPr>
          <w:rFonts w:cs="Times New Roman"/>
          <w:lang w:val="nl-NL"/>
        </w:rPr>
        <w:t>M. Peeters</w:t>
      </w:r>
      <w:r w:rsidR="000E5ADA" w:rsidRPr="000E5ADA">
        <w:rPr>
          <w:rFonts w:cs="Times New Roman"/>
          <w:vertAlign w:val="superscript"/>
          <w:lang w:val="nl-NL"/>
        </w:rPr>
        <w:t>1,2</w:t>
      </w:r>
      <w:r w:rsidRPr="000E5ADA">
        <w:rPr>
          <w:rFonts w:cs="Times New Roman"/>
          <w:lang w:val="nl-NL"/>
        </w:rPr>
        <w:t>, T. Compernolle</w:t>
      </w:r>
      <w:r w:rsidR="006A3379">
        <w:rPr>
          <w:rFonts w:cs="Times New Roman"/>
          <w:vertAlign w:val="superscript"/>
          <w:lang w:val="nl-NL"/>
        </w:rPr>
        <w:t>4</w:t>
      </w:r>
      <w:r w:rsidRPr="000E5ADA">
        <w:rPr>
          <w:rFonts w:cs="Times New Roman"/>
          <w:lang w:val="nl-NL"/>
        </w:rPr>
        <w:t>, S. Van Passel</w:t>
      </w:r>
      <w:r w:rsidR="006A3379">
        <w:rPr>
          <w:rFonts w:cs="Times New Roman"/>
          <w:vertAlign w:val="superscript"/>
          <w:lang w:val="nl-NL"/>
        </w:rPr>
        <w:t>5</w:t>
      </w:r>
    </w:p>
    <w:p w14:paraId="6A73DBC1" w14:textId="71234E60" w:rsidR="006A3379" w:rsidRPr="000B4C4F" w:rsidRDefault="000E5ADA" w:rsidP="000E5ADA">
      <w:pPr>
        <w:spacing w:line="240" w:lineRule="auto"/>
        <w:jc w:val="left"/>
        <w:rPr>
          <w:rFonts w:ascii="Arial" w:hAnsi="Arial" w:cs="Arial"/>
          <w:sz w:val="18"/>
          <w:shd w:val="clear" w:color="auto" w:fill="FFFFFF"/>
          <w:lang w:val="nl-NL"/>
        </w:rPr>
      </w:pPr>
      <w:r w:rsidRPr="006F5B58">
        <w:rPr>
          <w:rFonts w:ascii="Arial" w:hAnsi="Arial" w:cs="Arial"/>
          <w:color w:val="222222"/>
          <w:sz w:val="18"/>
          <w:shd w:val="clear" w:color="auto" w:fill="FFFFFF"/>
          <w:vertAlign w:val="superscript"/>
          <w:lang w:val="nl-NL"/>
        </w:rPr>
        <w:t>1</w:t>
      </w:r>
      <w:r w:rsidRPr="006F5B58">
        <w:rPr>
          <w:rFonts w:ascii="Arial" w:eastAsia="Times New Roman" w:hAnsi="Arial" w:cs="Arial"/>
          <w:color w:val="222222"/>
          <w:sz w:val="18"/>
          <w:shd w:val="clear" w:color="auto" w:fill="FFFFFF"/>
          <w:lang w:val="nl-NL"/>
        </w:rPr>
        <w:t xml:space="preserve">Antwerp Management School </w:t>
      </w:r>
      <w:proofErr w:type="spellStart"/>
      <w:r w:rsidRPr="006F5B58">
        <w:rPr>
          <w:rFonts w:ascii="Arial" w:hAnsi="Arial" w:cs="Arial"/>
          <w:color w:val="222222"/>
          <w:sz w:val="18"/>
          <w:shd w:val="clear" w:color="auto" w:fill="FFFFFF"/>
          <w:lang w:val="nl-NL"/>
        </w:rPr>
        <w:t>Boogkeers</w:t>
      </w:r>
      <w:proofErr w:type="spellEnd"/>
      <w:r w:rsidRPr="006F5B58">
        <w:rPr>
          <w:rFonts w:ascii="Arial" w:hAnsi="Arial" w:cs="Arial"/>
          <w:color w:val="222222"/>
          <w:sz w:val="18"/>
          <w:shd w:val="clear" w:color="auto" w:fill="FFFFFF"/>
          <w:lang w:val="nl-NL"/>
        </w:rPr>
        <w:t xml:space="preserve"> 5, 2000 Antwerpen, Belgium</w:t>
      </w:r>
      <w:r>
        <w:rPr>
          <w:rFonts w:ascii="Arial" w:hAnsi="Arial" w:cs="Arial"/>
          <w:color w:val="222222"/>
          <w:sz w:val="18"/>
          <w:shd w:val="clear" w:color="auto" w:fill="FFFFFF"/>
          <w:lang w:val="nl-NL"/>
        </w:rPr>
        <w:br/>
      </w:r>
      <w:r w:rsidRPr="006F5B58">
        <w:rPr>
          <w:rFonts w:ascii="Arial" w:hAnsi="Arial" w:cs="Arial"/>
          <w:color w:val="222222"/>
          <w:sz w:val="18"/>
          <w:shd w:val="clear" w:color="auto" w:fill="FFFFFF"/>
          <w:vertAlign w:val="superscript"/>
          <w:lang w:val="nl-NL"/>
        </w:rPr>
        <w:t>2</w:t>
      </w:r>
      <w:r w:rsidRPr="006F5B58">
        <w:rPr>
          <w:rFonts w:ascii="Arial" w:hAnsi="Arial" w:cs="Arial"/>
          <w:color w:val="222222"/>
          <w:sz w:val="18"/>
          <w:shd w:val="clear" w:color="auto" w:fill="FFFFFF"/>
          <w:lang w:val="nl-NL"/>
        </w:rPr>
        <w:t xml:space="preserve">Universiteit Antwerpen </w:t>
      </w:r>
      <w:r w:rsidRPr="006F5B58">
        <w:rPr>
          <w:rFonts w:ascii="Arial" w:eastAsia="Times New Roman" w:hAnsi="Arial" w:cs="Arial"/>
          <w:color w:val="222222"/>
          <w:sz w:val="18"/>
          <w:shd w:val="clear" w:color="auto" w:fill="FFFFFF"/>
          <w:lang w:val="nl-NL"/>
        </w:rPr>
        <w:t xml:space="preserve">Prinsstraat 13, 2000 Antwerpen, Belgium </w:t>
      </w:r>
      <w:hyperlink r:id="rId8" w:history="1">
        <w:r w:rsidRPr="006F5B58">
          <w:rPr>
            <w:rStyle w:val="Hyperlink"/>
            <w:rFonts w:ascii="Arial" w:hAnsi="Arial" w:cs="Arial"/>
            <w:sz w:val="18"/>
            <w:shd w:val="clear" w:color="auto" w:fill="FFFFFF"/>
            <w:lang w:val="nl-NL"/>
          </w:rPr>
          <w:t>mp@smartbuilding.io</w:t>
        </w:r>
      </w:hyperlink>
      <w:r w:rsidR="000B4C4F">
        <w:rPr>
          <w:rStyle w:val="Hyperlink"/>
          <w:rFonts w:ascii="Arial" w:hAnsi="Arial" w:cs="Arial"/>
          <w:sz w:val="18"/>
          <w:shd w:val="clear" w:color="auto" w:fill="FFFFFF"/>
          <w:lang w:val="nl-NL"/>
        </w:rPr>
        <w:br/>
      </w:r>
      <w:r w:rsidR="000B4C4F">
        <w:rPr>
          <w:rFonts w:ascii="Arial" w:hAnsi="Arial" w:cs="Arial"/>
          <w:color w:val="222222"/>
          <w:sz w:val="18"/>
          <w:shd w:val="clear" w:color="auto" w:fill="FFFFFF"/>
          <w:vertAlign w:val="superscript"/>
          <w:lang w:val="nl-NL"/>
        </w:rPr>
        <w:t>3</w:t>
      </w:r>
      <w:r w:rsidR="000B4C4F">
        <w:rPr>
          <w:rFonts w:ascii="Arial" w:hAnsi="Arial" w:cs="Arial"/>
          <w:color w:val="222222"/>
          <w:sz w:val="18"/>
          <w:shd w:val="clear" w:color="auto" w:fill="FFFFFF"/>
          <w:lang w:val="nl-NL"/>
        </w:rPr>
        <w:t xml:space="preserve">AP Hogeschool Ellermanstraat </w:t>
      </w:r>
      <w:r w:rsidR="000B4C4F">
        <w:rPr>
          <w:rFonts w:ascii="Arial" w:eastAsia="Times New Roman" w:hAnsi="Arial" w:cs="Arial"/>
          <w:color w:val="222222"/>
          <w:sz w:val="18"/>
          <w:shd w:val="clear" w:color="auto" w:fill="FFFFFF"/>
          <w:lang w:val="nl-NL"/>
        </w:rPr>
        <w:t>3</w:t>
      </w:r>
      <w:r w:rsidR="000B4C4F" w:rsidRPr="006F5B58">
        <w:rPr>
          <w:rFonts w:ascii="Arial" w:eastAsia="Times New Roman" w:hAnsi="Arial" w:cs="Arial"/>
          <w:color w:val="222222"/>
          <w:sz w:val="18"/>
          <w:shd w:val="clear" w:color="auto" w:fill="FFFFFF"/>
          <w:lang w:val="nl-NL"/>
        </w:rPr>
        <w:t xml:space="preserve">3, 2000 Antwerpen, Belgium </w:t>
      </w:r>
      <w:hyperlink r:id="rId9" w:history="1">
        <w:r w:rsidR="006A3379" w:rsidRPr="00AD10D4">
          <w:rPr>
            <w:rStyle w:val="Hyperlink"/>
            <w:rFonts w:ascii="Arial" w:hAnsi="Arial" w:cs="Arial"/>
            <w:sz w:val="18"/>
            <w:shd w:val="clear" w:color="auto" w:fill="FFFFFF"/>
            <w:lang w:val="nl-NL"/>
          </w:rPr>
          <w:t>michael.peeters01@ap.be</w:t>
        </w:r>
      </w:hyperlink>
    </w:p>
    <w:p w14:paraId="7B9804B6" w14:textId="176B92A8" w:rsidR="000E5ADA" w:rsidRPr="006F5B58" w:rsidRDefault="006A3379" w:rsidP="000E5ADA">
      <w:pPr>
        <w:spacing w:before="0" w:after="0" w:line="240" w:lineRule="auto"/>
        <w:jc w:val="left"/>
        <w:rPr>
          <w:rFonts w:ascii="Arial" w:eastAsia="Times New Roman" w:hAnsi="Arial" w:cs="Arial"/>
          <w:color w:val="222222"/>
          <w:sz w:val="18"/>
          <w:shd w:val="clear" w:color="auto" w:fill="FFFFFF"/>
          <w:lang w:val="nl-NL"/>
        </w:rPr>
      </w:pPr>
      <w:r>
        <w:rPr>
          <w:rFonts w:ascii="Arial" w:hAnsi="Arial" w:cs="Arial"/>
          <w:color w:val="222222"/>
          <w:sz w:val="18"/>
          <w:shd w:val="clear" w:color="auto" w:fill="FFFFFF"/>
          <w:vertAlign w:val="superscript"/>
          <w:lang w:val="nl-NL"/>
        </w:rPr>
        <w:t>4</w:t>
      </w:r>
      <w:r w:rsidR="000E5ADA" w:rsidRPr="006F5B58">
        <w:rPr>
          <w:rFonts w:ascii="Arial" w:eastAsia="Times New Roman" w:hAnsi="Arial" w:cs="Arial"/>
          <w:color w:val="222222"/>
          <w:sz w:val="18"/>
          <w:shd w:val="clear" w:color="auto" w:fill="FFFFFF"/>
          <w:lang w:val="nl-NL"/>
        </w:rPr>
        <w:t xml:space="preserve">Universiteit Antwerpen Prinsstraat 13, 2000 Antwerpen, Belgium </w:t>
      </w:r>
      <w:hyperlink r:id="rId10" w:history="1">
        <w:r w:rsidR="000E5ADA" w:rsidRPr="006F5B58">
          <w:rPr>
            <w:rStyle w:val="Hyperlink"/>
            <w:rFonts w:ascii="Arial" w:eastAsia="Times New Roman" w:hAnsi="Arial" w:cs="Arial"/>
            <w:sz w:val="18"/>
            <w:shd w:val="clear" w:color="auto" w:fill="FFFFFF"/>
            <w:lang w:val="nl-NL"/>
          </w:rPr>
          <w:t>tine.compernolle@uantwerpen.be</w:t>
        </w:r>
      </w:hyperlink>
    </w:p>
    <w:p w14:paraId="33C1354C" w14:textId="54E37D91" w:rsidR="000E5ADA" w:rsidRPr="006F5B58" w:rsidRDefault="006A3379" w:rsidP="000E5ADA">
      <w:pPr>
        <w:spacing w:before="0" w:after="0" w:line="240" w:lineRule="auto"/>
        <w:jc w:val="left"/>
        <w:rPr>
          <w:rFonts w:ascii="Arial" w:eastAsia="Times New Roman" w:hAnsi="Arial" w:cs="Arial"/>
          <w:color w:val="222222"/>
          <w:sz w:val="18"/>
          <w:shd w:val="clear" w:color="auto" w:fill="FFFFFF"/>
          <w:lang w:val="nl-NL"/>
        </w:rPr>
      </w:pPr>
      <w:r>
        <w:rPr>
          <w:rFonts w:ascii="Arial" w:hAnsi="Arial" w:cs="Arial"/>
          <w:color w:val="222222"/>
          <w:sz w:val="18"/>
          <w:shd w:val="clear" w:color="auto" w:fill="FFFFFF"/>
          <w:vertAlign w:val="superscript"/>
          <w:lang w:val="nl-NL"/>
        </w:rPr>
        <w:t>5</w:t>
      </w:r>
      <w:r w:rsidR="000E5ADA" w:rsidRPr="006F5B58">
        <w:rPr>
          <w:rFonts w:ascii="Arial" w:eastAsia="Times New Roman" w:hAnsi="Arial" w:cs="Arial"/>
          <w:color w:val="222222"/>
          <w:sz w:val="18"/>
          <w:shd w:val="clear" w:color="auto" w:fill="FFFFFF"/>
          <w:lang w:val="nl-NL"/>
        </w:rPr>
        <w:t xml:space="preserve">Universiteit Antwerpen Prinsstraat 13, 2000 Antwerpen, Belgium </w:t>
      </w:r>
      <w:hyperlink r:id="rId11" w:history="1">
        <w:r w:rsidR="000E5ADA" w:rsidRPr="006F5B58">
          <w:rPr>
            <w:rStyle w:val="Hyperlink"/>
            <w:rFonts w:ascii="Arial" w:eastAsia="Times New Roman" w:hAnsi="Arial" w:cs="Arial"/>
            <w:sz w:val="18"/>
            <w:shd w:val="clear" w:color="auto" w:fill="FFFFFF"/>
            <w:lang w:val="nl-NL"/>
          </w:rPr>
          <w:t>steven.vanpassel@uantwerpen.be</w:t>
        </w:r>
      </w:hyperlink>
    </w:p>
    <w:p w14:paraId="16266FB1" w14:textId="77777777" w:rsidR="000E5ADA" w:rsidRPr="006F5B58" w:rsidRDefault="000E5ADA" w:rsidP="000E5ADA">
      <w:pPr>
        <w:spacing w:before="0" w:after="0" w:line="240" w:lineRule="auto"/>
        <w:jc w:val="left"/>
        <w:rPr>
          <w:rFonts w:eastAsia="Times New Roman" w:cs="Times New Roman"/>
          <w:lang w:val="nl-NL"/>
        </w:rPr>
      </w:pPr>
    </w:p>
    <w:p w14:paraId="5F84942B" w14:textId="77777777" w:rsidR="00DA0A18" w:rsidRPr="000E5ADA" w:rsidRDefault="00DA0A18" w:rsidP="00141F1C">
      <w:pPr>
        <w:rPr>
          <w:rFonts w:cs="Times New Roman"/>
          <w:lang w:val="nl-NL"/>
        </w:rPr>
      </w:pPr>
    </w:p>
    <w:p w14:paraId="1BAD2763" w14:textId="77777777" w:rsidR="00DA0A18" w:rsidRPr="000E5ADA" w:rsidRDefault="00DA0A18" w:rsidP="00141F1C">
      <w:pPr>
        <w:rPr>
          <w:rFonts w:cs="Times New Roman"/>
          <w:lang w:val="nl-NL"/>
        </w:rPr>
      </w:pPr>
    </w:p>
    <w:p w14:paraId="33922BF7" w14:textId="77777777" w:rsidR="00DA0A18" w:rsidRPr="000E5ADA" w:rsidRDefault="00DA0A18" w:rsidP="00141F1C">
      <w:pPr>
        <w:rPr>
          <w:rFonts w:cs="Times New Roman"/>
          <w:lang w:val="nl-NL"/>
        </w:rPr>
      </w:pPr>
    </w:p>
    <w:p w14:paraId="5F967E73" w14:textId="77777777" w:rsidR="00DA0A18" w:rsidRPr="000E5ADA" w:rsidRDefault="00DA0A18" w:rsidP="00141F1C">
      <w:pPr>
        <w:rPr>
          <w:rFonts w:cs="Times New Roman"/>
          <w:lang w:val="nl-NL"/>
        </w:rPr>
      </w:pPr>
    </w:p>
    <w:p w14:paraId="1AD15ADC" w14:textId="77777777" w:rsidR="00DA0A18" w:rsidRPr="000E5ADA" w:rsidRDefault="00DA0A18" w:rsidP="00141F1C">
      <w:pPr>
        <w:rPr>
          <w:rFonts w:cs="Times New Roman"/>
          <w:lang w:val="nl-NL"/>
        </w:rPr>
      </w:pPr>
    </w:p>
    <w:p w14:paraId="02AED75E" w14:textId="2C3FCF04" w:rsidR="00DA0A18" w:rsidRPr="000E5ADA" w:rsidRDefault="000E5ADA" w:rsidP="000E5ADA">
      <w:pPr>
        <w:pStyle w:val="CommentText"/>
        <w:rPr>
          <w:rStyle w:val="CommentReference"/>
          <w:sz w:val="20"/>
          <w:szCs w:val="20"/>
        </w:rPr>
      </w:pPr>
      <w:r w:rsidRPr="000B4C4F">
        <w:rPr>
          <w:lang w:val="nl-NL"/>
        </w:rPr>
        <w:t xml:space="preserve"> </w:t>
      </w:r>
      <w:r>
        <w:t>Declarations of interest: none</w:t>
      </w:r>
    </w:p>
    <w:p w14:paraId="715EEE1B" w14:textId="77777777" w:rsidR="00E927FA" w:rsidRPr="000B4C4F" w:rsidRDefault="00E927FA" w:rsidP="00E927FA">
      <w:pPr>
        <w:rPr>
          <w:rFonts w:cs="Times New Roman"/>
          <w:lang w:val="en-US"/>
        </w:rPr>
      </w:pPr>
    </w:p>
    <w:p w14:paraId="203A81D0" w14:textId="68C4A69D" w:rsidR="00E927FA" w:rsidRPr="000B4C4F" w:rsidRDefault="000E5ADA" w:rsidP="00E927FA">
      <w:pPr>
        <w:rPr>
          <w:rFonts w:cs="Times New Roman"/>
          <w:lang w:val="en-US"/>
        </w:rPr>
      </w:pPr>
      <w:r w:rsidRPr="000B4C4F">
        <w:rPr>
          <w:rFonts w:cs="Times New Roman"/>
          <w:lang w:val="en-US"/>
        </w:rPr>
        <w:t xml:space="preserve"> </w:t>
      </w:r>
    </w:p>
    <w:p w14:paraId="3BD736B6" w14:textId="77777777" w:rsidR="00E927FA" w:rsidRPr="000B4C4F" w:rsidRDefault="00E927FA" w:rsidP="00E927FA">
      <w:pPr>
        <w:rPr>
          <w:rFonts w:cs="Times New Roman"/>
          <w:lang w:val="en-US"/>
        </w:rPr>
      </w:pPr>
    </w:p>
    <w:p w14:paraId="13679203" w14:textId="77777777" w:rsidR="00E927FA" w:rsidRPr="000B4C4F" w:rsidRDefault="00E927FA" w:rsidP="00E927FA">
      <w:pPr>
        <w:rPr>
          <w:rFonts w:cs="Times New Roman"/>
          <w:lang w:val="en-US"/>
        </w:rPr>
      </w:pPr>
    </w:p>
    <w:p w14:paraId="02C306B3" w14:textId="77777777" w:rsidR="00E927FA" w:rsidRPr="000B4C4F" w:rsidRDefault="00E927FA" w:rsidP="00E927FA">
      <w:pPr>
        <w:rPr>
          <w:rFonts w:cs="Times New Roman"/>
          <w:lang w:val="en-US"/>
        </w:rPr>
      </w:pPr>
    </w:p>
    <w:p w14:paraId="61A3F72C" w14:textId="77777777" w:rsidR="00E927FA" w:rsidRPr="000B4C4F" w:rsidRDefault="00E927FA" w:rsidP="00E927FA">
      <w:pPr>
        <w:rPr>
          <w:rFonts w:cs="Times New Roman"/>
          <w:lang w:val="en-US"/>
        </w:rPr>
      </w:pPr>
    </w:p>
    <w:p w14:paraId="7BFA4D49" w14:textId="77777777" w:rsidR="00E927FA" w:rsidRPr="000B4C4F" w:rsidRDefault="00E927FA" w:rsidP="00E927FA">
      <w:pPr>
        <w:rPr>
          <w:rStyle w:val="CommentReference"/>
          <w:lang w:val="en-US"/>
        </w:rPr>
      </w:pPr>
    </w:p>
    <w:p w14:paraId="1A37BF9A" w14:textId="638F512E" w:rsidR="00E927FA" w:rsidRPr="00814236" w:rsidRDefault="00E927FA" w:rsidP="00E927FA">
      <w:pPr>
        <w:tabs>
          <w:tab w:val="left" w:pos="2385"/>
        </w:tabs>
        <w:jc w:val="center"/>
        <w:rPr>
          <w:rStyle w:val="CommentReference"/>
          <w:sz w:val="24"/>
          <w:szCs w:val="24"/>
        </w:rPr>
      </w:pPr>
      <w:r w:rsidRPr="00814236">
        <w:rPr>
          <w:rStyle w:val="CommentReference"/>
          <w:sz w:val="24"/>
          <w:szCs w:val="24"/>
        </w:rPr>
        <w:t>April 2019</w:t>
      </w:r>
    </w:p>
    <w:p w14:paraId="1E77F984" w14:textId="4F4D59BF" w:rsidR="00E927FA" w:rsidRPr="00814236" w:rsidRDefault="00E927FA" w:rsidP="00E927FA">
      <w:pPr>
        <w:tabs>
          <w:tab w:val="left" w:pos="2385"/>
        </w:tabs>
        <w:rPr>
          <w:rFonts w:cs="Times New Roman"/>
        </w:rPr>
        <w:sectPr w:rsidR="00E927FA" w:rsidRPr="00814236" w:rsidSect="00DA0A18">
          <w:footerReference w:type="default" r:id="rId12"/>
          <w:type w:val="continuous"/>
          <w:pgSz w:w="11900" w:h="16840"/>
          <w:pgMar w:top="1418" w:right="1418" w:bottom="1418" w:left="2268" w:header="708" w:footer="708" w:gutter="0"/>
          <w:cols w:space="708"/>
          <w:titlePg/>
          <w:docGrid w:linePitch="360"/>
        </w:sectPr>
      </w:pPr>
      <w:bookmarkStart w:id="0" w:name="_GoBack"/>
      <w:bookmarkEnd w:id="0"/>
    </w:p>
    <w:p w14:paraId="180A05AD" w14:textId="68F5FA2B" w:rsidR="00994CC7" w:rsidRPr="00814236" w:rsidRDefault="001C55FE" w:rsidP="00141F1C">
      <w:pPr>
        <w:rPr>
          <w:b/>
          <w:sz w:val="36"/>
          <w:szCs w:val="36"/>
        </w:rPr>
      </w:pPr>
      <w:bookmarkStart w:id="1" w:name="_Toc528960155"/>
      <w:r w:rsidRPr="00814236">
        <w:rPr>
          <w:b/>
          <w:sz w:val="36"/>
          <w:szCs w:val="36"/>
        </w:rPr>
        <w:lastRenderedPageBreak/>
        <w:t>Abstract</w:t>
      </w:r>
      <w:bookmarkEnd w:id="1"/>
    </w:p>
    <w:p w14:paraId="5033E5EB" w14:textId="2CFF63E0" w:rsidR="00192842" w:rsidRPr="00814236" w:rsidRDefault="00192842" w:rsidP="00141F1C">
      <w:pPr>
        <w:rPr>
          <w:rFonts w:cs="Times New Roman"/>
        </w:rPr>
      </w:pPr>
      <w:r w:rsidRPr="00814236">
        <w:rPr>
          <w:rFonts w:cs="Times New Roman"/>
        </w:rPr>
        <w:t>Buildings are responsible for 40% of our worldwide energy consumption</w:t>
      </w:r>
      <w:r w:rsidR="00AA60EE" w:rsidRPr="00814236">
        <w:rPr>
          <w:rFonts w:cs="Times New Roman"/>
        </w:rPr>
        <w:t xml:space="preserve"> and</w:t>
      </w:r>
      <w:r w:rsidRPr="00814236">
        <w:rPr>
          <w:rFonts w:cs="Times New Roman"/>
        </w:rPr>
        <w:t xml:space="preserve"> 50% of this energy is converted for HVAC systems in buildings</w:t>
      </w:r>
      <w:r w:rsidR="00AA60EE" w:rsidRPr="00814236">
        <w:rPr>
          <w:rFonts w:cs="Times New Roman"/>
        </w:rPr>
        <w:t xml:space="preserve"> </w:t>
      </w:r>
      <w:r w:rsidR="00E927FA" w:rsidRPr="00814236">
        <w:rPr>
          <w:rFonts w:cs="Times New Roman"/>
        </w:rPr>
        <w:t>(</w:t>
      </w:r>
      <w:r w:rsidR="00AA60EE" w:rsidRPr="00814236">
        <w:rPr>
          <w:rFonts w:cs="Times New Roman"/>
        </w:rPr>
        <w:t xml:space="preserve">e.g. for </w:t>
      </w:r>
      <w:r w:rsidRPr="00814236">
        <w:rPr>
          <w:rFonts w:cs="Times New Roman"/>
        </w:rPr>
        <w:t>hot water</w:t>
      </w:r>
      <w:r w:rsidR="00E927FA" w:rsidRPr="00814236">
        <w:rPr>
          <w:rFonts w:cs="Times New Roman"/>
        </w:rPr>
        <w:t>)</w:t>
      </w:r>
      <w:r w:rsidRPr="00814236">
        <w:rPr>
          <w:rFonts w:cs="Times New Roman"/>
        </w:rPr>
        <w:t>. In this paper</w:t>
      </w:r>
      <w:r w:rsidR="00AA60EE" w:rsidRPr="00814236">
        <w:rPr>
          <w:rFonts w:cs="Times New Roman"/>
        </w:rPr>
        <w:t>,</w:t>
      </w:r>
      <w:r w:rsidRPr="00814236">
        <w:rPr>
          <w:rFonts w:cs="Times New Roman"/>
        </w:rPr>
        <w:t xml:space="preserve"> we simulate</w:t>
      </w:r>
      <w:r w:rsidR="00E927FA" w:rsidRPr="00814236">
        <w:rPr>
          <w:rFonts w:cs="Times New Roman"/>
        </w:rPr>
        <w:t>d</w:t>
      </w:r>
      <w:r w:rsidRPr="00814236">
        <w:rPr>
          <w:rFonts w:cs="Times New Roman"/>
        </w:rPr>
        <w:t xml:space="preserve"> the participation of a water heating system in the balancing of the electricity net. Here</w:t>
      </w:r>
      <w:r w:rsidR="00AA60EE" w:rsidRPr="00814236">
        <w:rPr>
          <w:rFonts w:cs="Times New Roman"/>
        </w:rPr>
        <w:t>,</w:t>
      </w:r>
      <w:r w:rsidRPr="00814236">
        <w:rPr>
          <w:rFonts w:cs="Times New Roman"/>
        </w:rPr>
        <w:t xml:space="preserve"> the goal </w:t>
      </w:r>
      <w:r w:rsidR="00E927FA" w:rsidRPr="00814236">
        <w:rPr>
          <w:rFonts w:cs="Times New Roman"/>
        </w:rPr>
        <w:t>wa</w:t>
      </w:r>
      <w:r w:rsidRPr="00814236">
        <w:rPr>
          <w:rFonts w:cs="Times New Roman"/>
        </w:rPr>
        <w:t xml:space="preserve">s to change the setpoint of the water heater and </w:t>
      </w:r>
      <w:r w:rsidR="00AA60EE" w:rsidRPr="00814236">
        <w:rPr>
          <w:rFonts w:cs="Times New Roman"/>
        </w:rPr>
        <w:t>thus</w:t>
      </w:r>
      <w:r w:rsidRPr="00814236">
        <w:rPr>
          <w:rFonts w:cs="Times New Roman"/>
        </w:rPr>
        <w:t xml:space="preserve"> adapt the power consumption. The transmission system operator rewards active participation in delivering balanc</w:t>
      </w:r>
      <w:r w:rsidR="00AA60EE" w:rsidRPr="00814236">
        <w:rPr>
          <w:rFonts w:cs="Times New Roman"/>
        </w:rPr>
        <w:t>ed</w:t>
      </w:r>
      <w:r w:rsidRPr="00814236">
        <w:rPr>
          <w:rFonts w:cs="Times New Roman"/>
        </w:rPr>
        <w:t xml:space="preserve"> energy. In our simulations</w:t>
      </w:r>
      <w:r w:rsidR="00AA60EE" w:rsidRPr="00814236">
        <w:rPr>
          <w:rFonts w:cs="Times New Roman"/>
        </w:rPr>
        <w:t>,</w:t>
      </w:r>
      <w:r w:rsidRPr="00814236">
        <w:rPr>
          <w:rFonts w:cs="Times New Roman"/>
        </w:rPr>
        <w:t xml:space="preserve"> we replace</w:t>
      </w:r>
      <w:r w:rsidR="00E927FA" w:rsidRPr="00814236">
        <w:rPr>
          <w:rFonts w:cs="Times New Roman"/>
        </w:rPr>
        <w:t>d</w:t>
      </w:r>
      <w:r w:rsidRPr="00814236">
        <w:rPr>
          <w:rFonts w:cs="Times New Roman"/>
        </w:rPr>
        <w:t xml:space="preserve"> a standard on/off controller with an </w:t>
      </w:r>
      <w:r w:rsidR="00AA60EE" w:rsidRPr="00814236">
        <w:rPr>
          <w:rFonts w:cs="Times New Roman"/>
        </w:rPr>
        <w:t>economic model predictive c</w:t>
      </w:r>
      <w:r w:rsidRPr="00814236">
        <w:rPr>
          <w:rFonts w:cs="Times New Roman"/>
        </w:rPr>
        <w:t xml:space="preserve">ontrol </w:t>
      </w:r>
      <w:r w:rsidR="001D19CF" w:rsidRPr="00814236">
        <w:rPr>
          <w:rFonts w:cs="Times New Roman"/>
        </w:rPr>
        <w:t xml:space="preserve">(MPC) </w:t>
      </w:r>
      <w:r w:rsidRPr="00814236">
        <w:rPr>
          <w:rFonts w:cs="Times New Roman"/>
        </w:rPr>
        <w:t xml:space="preserve">controller </w:t>
      </w:r>
      <w:r w:rsidR="00AA60EE" w:rsidRPr="00814236">
        <w:rPr>
          <w:rFonts w:cs="Times New Roman"/>
        </w:rPr>
        <w:t>that</w:t>
      </w:r>
      <w:r w:rsidRPr="00814236">
        <w:rPr>
          <w:rFonts w:cs="Times New Roman"/>
        </w:rPr>
        <w:t xml:space="preserve"> takes</w:t>
      </w:r>
      <w:r w:rsidR="00AA60EE" w:rsidRPr="00814236">
        <w:rPr>
          <w:rFonts w:cs="Times New Roman"/>
        </w:rPr>
        <w:t xml:space="preserve"> </w:t>
      </w:r>
      <w:r w:rsidRPr="00814236">
        <w:rPr>
          <w:rFonts w:cs="Times New Roman"/>
        </w:rPr>
        <w:t>its optimisation, energy cost</w:t>
      </w:r>
      <w:r w:rsidR="00AA60EE" w:rsidRPr="00814236">
        <w:rPr>
          <w:rFonts w:cs="Times New Roman"/>
        </w:rPr>
        <w:t>,</w:t>
      </w:r>
      <w:r w:rsidRPr="00814236">
        <w:rPr>
          <w:rFonts w:cs="Times New Roman"/>
        </w:rPr>
        <w:t xml:space="preserve"> and reward for delivering balanc</w:t>
      </w:r>
      <w:r w:rsidR="001D19CF" w:rsidRPr="00814236">
        <w:rPr>
          <w:rFonts w:cs="Times New Roman"/>
        </w:rPr>
        <w:t>ed</w:t>
      </w:r>
      <w:r w:rsidRPr="00814236">
        <w:rPr>
          <w:rFonts w:cs="Times New Roman"/>
        </w:rPr>
        <w:t xml:space="preserve"> power into account. The outcome show</w:t>
      </w:r>
      <w:r w:rsidR="00E927FA" w:rsidRPr="00814236">
        <w:rPr>
          <w:rFonts w:cs="Times New Roman"/>
        </w:rPr>
        <w:t>s</w:t>
      </w:r>
      <w:r w:rsidRPr="00814236">
        <w:rPr>
          <w:rFonts w:cs="Times New Roman"/>
        </w:rPr>
        <w:t xml:space="preserve"> that the economic benefit</w:t>
      </w:r>
      <w:r w:rsidR="001D19CF" w:rsidRPr="00814236">
        <w:rPr>
          <w:rFonts w:cs="Times New Roman"/>
        </w:rPr>
        <w:t>s</w:t>
      </w:r>
      <w:r w:rsidRPr="00814236">
        <w:rPr>
          <w:rFonts w:cs="Times New Roman"/>
        </w:rPr>
        <w:t xml:space="preserve"> of participating in delivering balanc</w:t>
      </w:r>
      <w:r w:rsidR="001D19CF" w:rsidRPr="00814236">
        <w:rPr>
          <w:rFonts w:cs="Times New Roman"/>
        </w:rPr>
        <w:t>ed</w:t>
      </w:r>
      <w:r w:rsidRPr="00814236">
        <w:rPr>
          <w:rFonts w:cs="Times New Roman"/>
        </w:rPr>
        <w:t xml:space="preserve"> power is significant. </w:t>
      </w:r>
      <w:r w:rsidR="00EB4BA6" w:rsidRPr="00814236">
        <w:rPr>
          <w:rFonts w:cs="Times New Roman"/>
        </w:rPr>
        <w:t>W</w:t>
      </w:r>
      <w:r w:rsidRPr="00814236">
        <w:rPr>
          <w:rFonts w:cs="Times New Roman"/>
        </w:rPr>
        <w:t xml:space="preserve">e show that the choice </w:t>
      </w:r>
      <w:r w:rsidR="001D19CF" w:rsidRPr="00814236">
        <w:rPr>
          <w:rFonts w:cs="Times New Roman"/>
        </w:rPr>
        <w:t>of</w:t>
      </w:r>
      <w:r w:rsidRPr="00814236">
        <w:rPr>
          <w:rFonts w:cs="Times New Roman"/>
        </w:rPr>
        <w:t xml:space="preserve"> a</w:t>
      </w:r>
      <w:r w:rsidR="001D19CF" w:rsidRPr="00814236">
        <w:rPr>
          <w:rFonts w:cs="Times New Roman"/>
        </w:rPr>
        <w:t>n</w:t>
      </w:r>
      <w:r w:rsidRPr="00814236">
        <w:rPr>
          <w:rFonts w:cs="Times New Roman"/>
        </w:rPr>
        <w:t xml:space="preserve"> MPC controller is valid</w:t>
      </w:r>
      <w:r w:rsidR="00EB4BA6" w:rsidRPr="00814236">
        <w:rPr>
          <w:rFonts w:cs="Times New Roman"/>
        </w:rPr>
        <w:t xml:space="preserve"> </w:t>
      </w:r>
      <w:r w:rsidR="001D19CF" w:rsidRPr="00814236">
        <w:rPr>
          <w:rFonts w:cs="Times New Roman"/>
        </w:rPr>
        <w:t>as</w:t>
      </w:r>
      <w:r w:rsidR="00EB4BA6" w:rsidRPr="00814236">
        <w:rPr>
          <w:rFonts w:cs="Times New Roman"/>
        </w:rPr>
        <w:t xml:space="preserve"> it allows the setpoint </w:t>
      </w:r>
      <w:r w:rsidR="001D19CF" w:rsidRPr="00814236">
        <w:rPr>
          <w:rFonts w:cs="Times New Roman"/>
        </w:rPr>
        <w:t xml:space="preserve">to change </w:t>
      </w:r>
      <w:r w:rsidR="00EB4BA6" w:rsidRPr="00814236">
        <w:rPr>
          <w:rFonts w:cs="Times New Roman"/>
        </w:rPr>
        <w:t>if certain conditions are met.</w:t>
      </w:r>
      <w:r w:rsidRPr="00814236">
        <w:rPr>
          <w:rFonts w:cs="Times New Roman"/>
        </w:rPr>
        <w:t xml:space="preserve"> </w:t>
      </w:r>
      <w:r w:rsidR="00EB4BA6" w:rsidRPr="00814236">
        <w:rPr>
          <w:rFonts w:cs="Times New Roman"/>
        </w:rPr>
        <w:t>S</w:t>
      </w:r>
      <w:r w:rsidRPr="00814236">
        <w:rPr>
          <w:rFonts w:cs="Times New Roman"/>
        </w:rPr>
        <w:t xml:space="preserve">imulations show that the controller </w:t>
      </w:r>
      <w:r w:rsidR="001D19CF" w:rsidRPr="00814236">
        <w:rPr>
          <w:rFonts w:cs="Times New Roman"/>
        </w:rPr>
        <w:t xml:space="preserve">often </w:t>
      </w:r>
      <w:r w:rsidRPr="00814236">
        <w:rPr>
          <w:rFonts w:cs="Times New Roman"/>
        </w:rPr>
        <w:t>decides not to participate in delivering balanc</w:t>
      </w:r>
      <w:r w:rsidR="001D19CF" w:rsidRPr="00814236">
        <w:rPr>
          <w:rFonts w:cs="Times New Roman"/>
        </w:rPr>
        <w:t>ed</w:t>
      </w:r>
      <w:r w:rsidRPr="00814236">
        <w:rPr>
          <w:rFonts w:cs="Times New Roman"/>
        </w:rPr>
        <w:t xml:space="preserve"> power</w:t>
      </w:r>
      <w:r w:rsidR="00EB4BA6" w:rsidRPr="00814236">
        <w:rPr>
          <w:rFonts w:cs="Times New Roman"/>
        </w:rPr>
        <w:t xml:space="preserve"> because the conditions are not optimal</w:t>
      </w:r>
      <w:r w:rsidRPr="00814236">
        <w:rPr>
          <w:rFonts w:cs="Times New Roman"/>
        </w:rPr>
        <w:t>. With a normal controller</w:t>
      </w:r>
      <w:r w:rsidR="001D19CF" w:rsidRPr="00814236">
        <w:rPr>
          <w:rFonts w:cs="Times New Roman"/>
        </w:rPr>
        <w:t>,</w:t>
      </w:r>
      <w:r w:rsidRPr="00814236">
        <w:rPr>
          <w:rFonts w:cs="Times New Roman"/>
        </w:rPr>
        <w:t xml:space="preserve"> this choice would not be possible</w:t>
      </w:r>
      <w:r w:rsidR="00E927FA" w:rsidRPr="00814236">
        <w:rPr>
          <w:rFonts w:cs="Times New Roman"/>
        </w:rPr>
        <w:t xml:space="preserve">, </w:t>
      </w:r>
      <w:r w:rsidR="001324EF" w:rsidRPr="00814236">
        <w:rPr>
          <w:rFonts w:cs="Times New Roman"/>
        </w:rPr>
        <w:t xml:space="preserve">which would lead to a sub-optimal </w:t>
      </w:r>
      <w:r w:rsidR="00EB4BA6" w:rsidRPr="00814236">
        <w:rPr>
          <w:rFonts w:cs="Times New Roman"/>
        </w:rPr>
        <w:t>revenue stream from selling flexibility</w:t>
      </w:r>
      <w:r w:rsidR="001324EF" w:rsidRPr="00814236">
        <w:rPr>
          <w:rFonts w:cs="Times New Roman"/>
        </w:rPr>
        <w:t>.</w:t>
      </w:r>
      <w:r w:rsidR="00EB4BA6" w:rsidRPr="00814236">
        <w:rPr>
          <w:rFonts w:cs="Times New Roman"/>
        </w:rPr>
        <w:t xml:space="preserve"> Simulation</w:t>
      </w:r>
      <w:r w:rsidR="001D19CF" w:rsidRPr="00814236">
        <w:rPr>
          <w:rFonts w:cs="Times New Roman"/>
        </w:rPr>
        <w:t xml:space="preserve">s </w:t>
      </w:r>
      <w:r w:rsidR="00E927FA" w:rsidRPr="00814236">
        <w:rPr>
          <w:rFonts w:cs="Times New Roman"/>
        </w:rPr>
        <w:t xml:space="preserve">also </w:t>
      </w:r>
      <w:r w:rsidR="00EB4BA6" w:rsidRPr="00814236">
        <w:rPr>
          <w:rFonts w:cs="Times New Roman"/>
        </w:rPr>
        <w:t>show that the energy consumption goes up</w:t>
      </w:r>
      <w:r w:rsidR="001D19CF" w:rsidRPr="00814236">
        <w:rPr>
          <w:rFonts w:cs="Times New Roman"/>
        </w:rPr>
        <w:t>, which</w:t>
      </w:r>
      <w:r w:rsidR="00EB4BA6" w:rsidRPr="00814236">
        <w:rPr>
          <w:rFonts w:cs="Times New Roman"/>
        </w:rPr>
        <w:t xml:space="preserve"> is permitted as the participation in net stabilisation allow</w:t>
      </w:r>
      <w:r w:rsidR="001D19CF" w:rsidRPr="00814236">
        <w:rPr>
          <w:rFonts w:cs="Times New Roman"/>
        </w:rPr>
        <w:t>s</w:t>
      </w:r>
      <w:r w:rsidR="00EB4BA6" w:rsidRPr="00814236">
        <w:rPr>
          <w:rFonts w:cs="Times New Roman"/>
        </w:rPr>
        <w:t xml:space="preserve"> the macro-system to integrate more renewable energy sources</w:t>
      </w:r>
      <w:r w:rsidR="00E762C2" w:rsidRPr="00814236">
        <w:rPr>
          <w:rFonts w:cs="Times New Roman"/>
        </w:rPr>
        <w:t xml:space="preserve">. Another conclusion is that the </w:t>
      </w:r>
      <w:r w:rsidR="001D19CF" w:rsidRPr="00814236">
        <w:rPr>
          <w:rFonts w:cs="Times New Roman"/>
        </w:rPr>
        <w:t>poorer</w:t>
      </w:r>
      <w:r w:rsidR="00E762C2" w:rsidRPr="00814236">
        <w:rPr>
          <w:rFonts w:cs="Times New Roman"/>
        </w:rPr>
        <w:t xml:space="preserve"> the energy performance of the system, the more flexibility can be sold. From a polic</w:t>
      </w:r>
      <w:r w:rsidR="00E20A03" w:rsidRPr="00814236">
        <w:rPr>
          <w:rFonts w:cs="Times New Roman"/>
        </w:rPr>
        <w:t>y</w:t>
      </w:r>
      <w:r w:rsidR="00E762C2" w:rsidRPr="00814236">
        <w:rPr>
          <w:rFonts w:cs="Times New Roman"/>
        </w:rPr>
        <w:t xml:space="preserve"> point of view, a minimal energy performance should be determined before allowing participation in net stabili</w:t>
      </w:r>
      <w:r w:rsidR="001D19CF" w:rsidRPr="00814236">
        <w:rPr>
          <w:rFonts w:cs="Times New Roman"/>
        </w:rPr>
        <w:t>s</w:t>
      </w:r>
      <w:r w:rsidR="00E762C2" w:rsidRPr="00814236">
        <w:rPr>
          <w:rFonts w:cs="Times New Roman"/>
        </w:rPr>
        <w:t>ation.</w:t>
      </w:r>
      <w:r w:rsidR="00141F1C" w:rsidRPr="00814236">
        <w:rPr>
          <w:rFonts w:cs="Times New Roman"/>
        </w:rPr>
        <w:t xml:space="preserve"> </w:t>
      </w:r>
    </w:p>
    <w:p w14:paraId="6D1B7703" w14:textId="19BE64D7" w:rsidR="00141F1C" w:rsidRPr="00814236" w:rsidRDefault="00975A5C" w:rsidP="00141F1C">
      <w:pPr>
        <w:rPr>
          <w:rFonts w:cs="Times New Roman"/>
        </w:rPr>
      </w:pPr>
      <w:r>
        <w:rPr>
          <w:rFonts w:cs="Times New Roman"/>
        </w:rPr>
        <w:t xml:space="preserve">Keywords: </w:t>
      </w:r>
      <w:r w:rsidR="007B5BC4">
        <w:rPr>
          <w:rFonts w:cs="Times New Roman"/>
        </w:rPr>
        <w:t>demand response</w:t>
      </w:r>
      <w:r>
        <w:rPr>
          <w:rFonts w:cs="Times New Roman"/>
        </w:rPr>
        <w:t xml:space="preserve">; </w:t>
      </w:r>
      <w:r w:rsidRPr="00975A5C">
        <w:rPr>
          <w:rFonts w:cs="Times New Roman"/>
        </w:rPr>
        <w:t>economic model predictive control</w:t>
      </w:r>
      <w:r w:rsidR="007B5BC4">
        <w:rPr>
          <w:rFonts w:cs="Times New Roman"/>
        </w:rPr>
        <w:t xml:space="preserve">; flexibility </w:t>
      </w:r>
    </w:p>
    <w:p w14:paraId="2602C13E" w14:textId="52BC2EB4" w:rsidR="00141F1C" w:rsidRPr="00814236" w:rsidRDefault="00141F1C" w:rsidP="00141F1C">
      <w:pPr>
        <w:rPr>
          <w:rFonts w:cs="Times New Roman"/>
        </w:rPr>
      </w:pPr>
    </w:p>
    <w:p w14:paraId="18589EA9" w14:textId="56F4C53D" w:rsidR="00141F1C" w:rsidRDefault="00141F1C" w:rsidP="00141F1C">
      <w:pPr>
        <w:rPr>
          <w:rFonts w:cs="Times New Roman"/>
        </w:rPr>
      </w:pPr>
    </w:p>
    <w:p w14:paraId="02845182" w14:textId="77777777" w:rsidR="00A71904" w:rsidRPr="00814236" w:rsidRDefault="00A71904" w:rsidP="00141F1C">
      <w:pPr>
        <w:rPr>
          <w:rFonts w:cs="Times New Roman"/>
        </w:rPr>
      </w:pPr>
    </w:p>
    <w:sdt>
      <w:sdtPr>
        <w:rPr>
          <w:rFonts w:ascii="Times New Roman" w:eastAsiaTheme="minorHAnsi" w:hAnsi="Times New Roman" w:cstheme="minorBidi"/>
          <w:color w:val="auto"/>
          <w:sz w:val="24"/>
          <w:szCs w:val="24"/>
          <w:lang w:val="en-GB"/>
        </w:rPr>
        <w:id w:val="-1477295970"/>
        <w:docPartObj>
          <w:docPartGallery w:val="Table of Contents"/>
          <w:docPartUnique/>
        </w:docPartObj>
      </w:sdtPr>
      <w:sdtEndPr>
        <w:rPr>
          <w:b/>
          <w:bCs/>
          <w:noProof/>
        </w:rPr>
      </w:sdtEndPr>
      <w:sdtContent>
        <w:p w14:paraId="3DF8E96E" w14:textId="62EA5CDC" w:rsidR="00141F1C" w:rsidRPr="00A907D5" w:rsidRDefault="00141F1C" w:rsidP="00A907D5">
          <w:pPr>
            <w:pStyle w:val="TOCHeading"/>
            <w:numPr>
              <w:ilvl w:val="0"/>
              <w:numId w:val="0"/>
            </w:numPr>
            <w:ind w:left="360"/>
            <w:rPr>
              <w:rFonts w:ascii="Times New Roman" w:hAnsi="Times New Roman" w:cs="Times New Roman"/>
              <w:b/>
              <w:color w:val="auto"/>
              <w:sz w:val="28"/>
              <w:szCs w:val="28"/>
              <w:lang w:val="en-GB"/>
            </w:rPr>
          </w:pPr>
          <w:r w:rsidRPr="00A907D5">
            <w:rPr>
              <w:rFonts w:ascii="Times New Roman" w:hAnsi="Times New Roman" w:cs="Times New Roman"/>
              <w:b/>
              <w:color w:val="auto"/>
              <w:sz w:val="28"/>
              <w:szCs w:val="28"/>
              <w:lang w:val="en-GB"/>
            </w:rPr>
            <w:t>Contents</w:t>
          </w:r>
        </w:p>
        <w:p w14:paraId="44359889" w14:textId="31B17DDE" w:rsidR="00B4035C" w:rsidRDefault="00141F1C" w:rsidP="00A71904">
          <w:pPr>
            <w:pStyle w:val="TOC1"/>
            <w:tabs>
              <w:tab w:val="left" w:pos="440"/>
              <w:tab w:val="right" w:leader="dot" w:pos="8204"/>
            </w:tabs>
            <w:spacing w:line="360" w:lineRule="auto"/>
            <w:rPr>
              <w:rFonts w:asciiTheme="minorHAnsi" w:eastAsiaTheme="minorEastAsia" w:hAnsiTheme="minorHAnsi"/>
              <w:noProof/>
              <w:sz w:val="22"/>
              <w:szCs w:val="22"/>
              <w:lang w:val="bg-BG" w:eastAsia="bg-BG"/>
            </w:rPr>
          </w:pPr>
          <w:r w:rsidRPr="00814236">
            <w:fldChar w:fldCharType="begin"/>
          </w:r>
          <w:r w:rsidRPr="00814236">
            <w:instrText xml:space="preserve"> TOC \o "1-3" \h \z \u </w:instrText>
          </w:r>
          <w:r w:rsidRPr="00814236">
            <w:fldChar w:fldCharType="separate"/>
          </w:r>
          <w:hyperlink w:anchor="_Toc7096526" w:history="1">
            <w:r w:rsidR="00B4035C" w:rsidRPr="00576832">
              <w:rPr>
                <w:rStyle w:val="Hyperlink"/>
                <w:noProof/>
              </w:rPr>
              <w:t>1.</w:t>
            </w:r>
            <w:r w:rsidR="00B4035C">
              <w:rPr>
                <w:rFonts w:asciiTheme="minorHAnsi" w:eastAsiaTheme="minorEastAsia" w:hAnsiTheme="minorHAnsi"/>
                <w:noProof/>
                <w:sz w:val="22"/>
                <w:szCs w:val="22"/>
                <w:lang w:val="bg-BG" w:eastAsia="bg-BG"/>
              </w:rPr>
              <w:tab/>
            </w:r>
            <w:r w:rsidR="00B4035C" w:rsidRPr="00576832">
              <w:rPr>
                <w:rStyle w:val="Hyperlink"/>
                <w:noProof/>
              </w:rPr>
              <w:t>Introduction</w:t>
            </w:r>
            <w:r w:rsidR="00B4035C">
              <w:rPr>
                <w:noProof/>
                <w:webHidden/>
              </w:rPr>
              <w:tab/>
            </w:r>
            <w:r w:rsidR="00B4035C">
              <w:rPr>
                <w:noProof/>
                <w:webHidden/>
              </w:rPr>
              <w:fldChar w:fldCharType="begin"/>
            </w:r>
            <w:r w:rsidR="00B4035C">
              <w:rPr>
                <w:noProof/>
                <w:webHidden/>
              </w:rPr>
              <w:instrText xml:space="preserve"> PAGEREF _Toc7096526 \h </w:instrText>
            </w:r>
            <w:r w:rsidR="00B4035C">
              <w:rPr>
                <w:noProof/>
                <w:webHidden/>
              </w:rPr>
            </w:r>
            <w:r w:rsidR="00B4035C">
              <w:rPr>
                <w:noProof/>
                <w:webHidden/>
              </w:rPr>
              <w:fldChar w:fldCharType="separate"/>
            </w:r>
            <w:r w:rsidR="00B4035C">
              <w:rPr>
                <w:noProof/>
                <w:webHidden/>
              </w:rPr>
              <w:t>3</w:t>
            </w:r>
            <w:r w:rsidR="00B4035C">
              <w:rPr>
                <w:noProof/>
                <w:webHidden/>
              </w:rPr>
              <w:fldChar w:fldCharType="end"/>
            </w:r>
          </w:hyperlink>
        </w:p>
        <w:p w14:paraId="5729A991" w14:textId="6473933B" w:rsidR="00B4035C" w:rsidRDefault="00191AEA" w:rsidP="00A71904">
          <w:pPr>
            <w:pStyle w:val="TOC1"/>
            <w:tabs>
              <w:tab w:val="left" w:pos="440"/>
              <w:tab w:val="right" w:leader="dot" w:pos="8204"/>
            </w:tabs>
            <w:spacing w:line="360" w:lineRule="auto"/>
            <w:rPr>
              <w:rFonts w:asciiTheme="minorHAnsi" w:eastAsiaTheme="minorEastAsia" w:hAnsiTheme="minorHAnsi"/>
              <w:noProof/>
              <w:sz w:val="22"/>
              <w:szCs w:val="22"/>
              <w:lang w:val="bg-BG" w:eastAsia="bg-BG"/>
            </w:rPr>
          </w:pPr>
          <w:hyperlink w:anchor="_Toc7096527" w:history="1">
            <w:r w:rsidR="00B4035C" w:rsidRPr="00576832">
              <w:rPr>
                <w:rStyle w:val="Hyperlink"/>
                <w:noProof/>
              </w:rPr>
              <w:t>2.</w:t>
            </w:r>
            <w:r w:rsidR="00B4035C">
              <w:rPr>
                <w:rFonts w:asciiTheme="minorHAnsi" w:eastAsiaTheme="minorEastAsia" w:hAnsiTheme="minorHAnsi"/>
                <w:noProof/>
                <w:sz w:val="22"/>
                <w:szCs w:val="22"/>
                <w:lang w:val="bg-BG" w:eastAsia="bg-BG"/>
              </w:rPr>
              <w:tab/>
            </w:r>
            <w:r w:rsidR="00B4035C" w:rsidRPr="00576832">
              <w:rPr>
                <w:rStyle w:val="Hyperlink"/>
                <w:noProof/>
              </w:rPr>
              <w:t>Simulation Setups</w:t>
            </w:r>
            <w:r w:rsidR="00B4035C">
              <w:rPr>
                <w:noProof/>
                <w:webHidden/>
              </w:rPr>
              <w:tab/>
            </w:r>
            <w:r w:rsidR="00B4035C">
              <w:rPr>
                <w:noProof/>
                <w:webHidden/>
              </w:rPr>
              <w:fldChar w:fldCharType="begin"/>
            </w:r>
            <w:r w:rsidR="00B4035C">
              <w:rPr>
                <w:noProof/>
                <w:webHidden/>
              </w:rPr>
              <w:instrText xml:space="preserve"> PAGEREF _Toc7096527 \h </w:instrText>
            </w:r>
            <w:r w:rsidR="00B4035C">
              <w:rPr>
                <w:noProof/>
                <w:webHidden/>
              </w:rPr>
            </w:r>
            <w:r w:rsidR="00B4035C">
              <w:rPr>
                <w:noProof/>
                <w:webHidden/>
              </w:rPr>
              <w:fldChar w:fldCharType="separate"/>
            </w:r>
            <w:r w:rsidR="00B4035C">
              <w:rPr>
                <w:noProof/>
                <w:webHidden/>
              </w:rPr>
              <w:t>8</w:t>
            </w:r>
            <w:r w:rsidR="00B4035C">
              <w:rPr>
                <w:noProof/>
                <w:webHidden/>
              </w:rPr>
              <w:fldChar w:fldCharType="end"/>
            </w:r>
          </w:hyperlink>
        </w:p>
        <w:p w14:paraId="745B0BCB" w14:textId="46EAE5DF" w:rsidR="00B4035C" w:rsidRDefault="00191AEA" w:rsidP="00A71904">
          <w:pPr>
            <w:pStyle w:val="TOC3"/>
            <w:tabs>
              <w:tab w:val="right" w:leader="dot" w:pos="8204"/>
            </w:tabs>
            <w:spacing w:line="360" w:lineRule="auto"/>
            <w:rPr>
              <w:noProof/>
            </w:rPr>
          </w:pPr>
          <w:hyperlink w:anchor="_Toc7096528" w:history="1">
            <w:r w:rsidR="00B4035C" w:rsidRPr="00576832">
              <w:rPr>
                <w:rStyle w:val="Hyperlink"/>
                <w:rFonts w:cs="Times New Roman"/>
                <w:noProof/>
              </w:rPr>
              <w:t>2.1 Overview</w:t>
            </w:r>
            <w:r w:rsidR="00B4035C">
              <w:rPr>
                <w:noProof/>
                <w:webHidden/>
              </w:rPr>
              <w:tab/>
            </w:r>
            <w:r w:rsidR="00B4035C">
              <w:rPr>
                <w:noProof/>
                <w:webHidden/>
              </w:rPr>
              <w:fldChar w:fldCharType="begin"/>
            </w:r>
            <w:r w:rsidR="00B4035C">
              <w:rPr>
                <w:noProof/>
                <w:webHidden/>
              </w:rPr>
              <w:instrText xml:space="preserve"> PAGEREF _Toc7096528 \h </w:instrText>
            </w:r>
            <w:r w:rsidR="00B4035C">
              <w:rPr>
                <w:noProof/>
                <w:webHidden/>
              </w:rPr>
            </w:r>
            <w:r w:rsidR="00B4035C">
              <w:rPr>
                <w:noProof/>
                <w:webHidden/>
              </w:rPr>
              <w:fldChar w:fldCharType="separate"/>
            </w:r>
            <w:r w:rsidR="00B4035C">
              <w:rPr>
                <w:noProof/>
                <w:webHidden/>
              </w:rPr>
              <w:t>9</w:t>
            </w:r>
            <w:r w:rsidR="00B4035C">
              <w:rPr>
                <w:noProof/>
                <w:webHidden/>
              </w:rPr>
              <w:fldChar w:fldCharType="end"/>
            </w:r>
          </w:hyperlink>
        </w:p>
        <w:p w14:paraId="63E06F11" w14:textId="5726D2B9" w:rsidR="00B4035C" w:rsidRDefault="00191AEA" w:rsidP="00A71904">
          <w:pPr>
            <w:pStyle w:val="TOC3"/>
            <w:tabs>
              <w:tab w:val="right" w:leader="dot" w:pos="8204"/>
            </w:tabs>
            <w:spacing w:line="360" w:lineRule="auto"/>
            <w:rPr>
              <w:noProof/>
            </w:rPr>
          </w:pPr>
          <w:hyperlink w:anchor="_Toc7096529" w:history="1">
            <w:r w:rsidR="00B4035C" w:rsidRPr="00576832">
              <w:rPr>
                <w:rStyle w:val="Hyperlink"/>
                <w:noProof/>
              </w:rPr>
              <w:t>2.2 Economic analysis</w:t>
            </w:r>
            <w:r w:rsidR="00B4035C">
              <w:rPr>
                <w:noProof/>
                <w:webHidden/>
              </w:rPr>
              <w:tab/>
            </w:r>
            <w:r w:rsidR="00B4035C">
              <w:rPr>
                <w:noProof/>
                <w:webHidden/>
              </w:rPr>
              <w:fldChar w:fldCharType="begin"/>
            </w:r>
            <w:r w:rsidR="00B4035C">
              <w:rPr>
                <w:noProof/>
                <w:webHidden/>
              </w:rPr>
              <w:instrText xml:space="preserve"> PAGEREF _Toc7096529 \h </w:instrText>
            </w:r>
            <w:r w:rsidR="00B4035C">
              <w:rPr>
                <w:noProof/>
                <w:webHidden/>
              </w:rPr>
            </w:r>
            <w:r w:rsidR="00B4035C">
              <w:rPr>
                <w:noProof/>
                <w:webHidden/>
              </w:rPr>
              <w:fldChar w:fldCharType="separate"/>
            </w:r>
            <w:r w:rsidR="00B4035C">
              <w:rPr>
                <w:noProof/>
                <w:webHidden/>
              </w:rPr>
              <w:t>14</w:t>
            </w:r>
            <w:r w:rsidR="00B4035C">
              <w:rPr>
                <w:noProof/>
                <w:webHidden/>
              </w:rPr>
              <w:fldChar w:fldCharType="end"/>
            </w:r>
          </w:hyperlink>
        </w:p>
        <w:p w14:paraId="3411D6FD" w14:textId="27DC4939" w:rsidR="00B4035C" w:rsidRDefault="00191AEA" w:rsidP="00A71904">
          <w:pPr>
            <w:pStyle w:val="TOC1"/>
            <w:tabs>
              <w:tab w:val="left" w:pos="480"/>
              <w:tab w:val="right" w:leader="dot" w:pos="8204"/>
            </w:tabs>
            <w:spacing w:line="360" w:lineRule="auto"/>
            <w:rPr>
              <w:rFonts w:asciiTheme="minorHAnsi" w:eastAsiaTheme="minorEastAsia" w:hAnsiTheme="minorHAnsi"/>
              <w:noProof/>
              <w:sz w:val="22"/>
              <w:szCs w:val="22"/>
              <w:lang w:val="bg-BG" w:eastAsia="bg-BG"/>
            </w:rPr>
          </w:pPr>
          <w:hyperlink w:anchor="_Toc7096536" w:history="1">
            <w:r w:rsidR="00B4035C" w:rsidRPr="00576832">
              <w:rPr>
                <w:rStyle w:val="Hyperlink"/>
                <w:noProof/>
              </w:rPr>
              <w:t>3.</w:t>
            </w:r>
            <w:r w:rsidR="00B4035C">
              <w:rPr>
                <w:rFonts w:asciiTheme="minorHAnsi" w:eastAsiaTheme="minorEastAsia" w:hAnsiTheme="minorHAnsi"/>
                <w:noProof/>
                <w:sz w:val="22"/>
                <w:szCs w:val="22"/>
                <w:lang w:val="bg-BG" w:eastAsia="bg-BG"/>
              </w:rPr>
              <w:tab/>
            </w:r>
            <w:r w:rsidR="00B4035C" w:rsidRPr="00576832">
              <w:rPr>
                <w:rStyle w:val="Hyperlink"/>
                <w:noProof/>
              </w:rPr>
              <w:t>Results and Discussion</w:t>
            </w:r>
            <w:r w:rsidR="00B4035C">
              <w:rPr>
                <w:noProof/>
                <w:webHidden/>
              </w:rPr>
              <w:tab/>
            </w:r>
            <w:r w:rsidR="00B4035C">
              <w:rPr>
                <w:noProof/>
                <w:webHidden/>
              </w:rPr>
              <w:fldChar w:fldCharType="begin"/>
            </w:r>
            <w:r w:rsidR="00B4035C">
              <w:rPr>
                <w:noProof/>
                <w:webHidden/>
              </w:rPr>
              <w:instrText xml:space="preserve"> PAGEREF _Toc7096536 \h </w:instrText>
            </w:r>
            <w:r w:rsidR="00B4035C">
              <w:rPr>
                <w:noProof/>
                <w:webHidden/>
              </w:rPr>
            </w:r>
            <w:r w:rsidR="00B4035C">
              <w:rPr>
                <w:noProof/>
                <w:webHidden/>
              </w:rPr>
              <w:fldChar w:fldCharType="separate"/>
            </w:r>
            <w:r w:rsidR="00B4035C">
              <w:rPr>
                <w:noProof/>
                <w:webHidden/>
              </w:rPr>
              <w:t>15</w:t>
            </w:r>
            <w:r w:rsidR="00B4035C">
              <w:rPr>
                <w:noProof/>
                <w:webHidden/>
              </w:rPr>
              <w:fldChar w:fldCharType="end"/>
            </w:r>
          </w:hyperlink>
        </w:p>
        <w:p w14:paraId="2B716C65" w14:textId="2B1E0408" w:rsidR="00B4035C" w:rsidRDefault="00191AEA" w:rsidP="00A71904">
          <w:pPr>
            <w:pStyle w:val="TOC3"/>
            <w:tabs>
              <w:tab w:val="right" w:leader="dot" w:pos="8204"/>
            </w:tabs>
            <w:spacing w:line="360" w:lineRule="auto"/>
            <w:rPr>
              <w:noProof/>
            </w:rPr>
          </w:pPr>
          <w:hyperlink w:anchor="_Toc7096537" w:history="1">
            <w:r w:rsidR="00B4035C" w:rsidRPr="00576832">
              <w:rPr>
                <w:rStyle w:val="Hyperlink"/>
                <w:noProof/>
              </w:rPr>
              <w:t>3.1 Conventional boiler and advanced control: Analysis of monthly net cash flows</w:t>
            </w:r>
            <w:r w:rsidR="00B4035C">
              <w:rPr>
                <w:noProof/>
                <w:webHidden/>
              </w:rPr>
              <w:tab/>
            </w:r>
            <w:r w:rsidR="00B4035C">
              <w:rPr>
                <w:noProof/>
                <w:webHidden/>
              </w:rPr>
              <w:fldChar w:fldCharType="begin"/>
            </w:r>
            <w:r w:rsidR="00B4035C">
              <w:rPr>
                <w:noProof/>
                <w:webHidden/>
              </w:rPr>
              <w:instrText xml:space="preserve"> PAGEREF _Toc7096537 \h </w:instrText>
            </w:r>
            <w:r w:rsidR="00B4035C">
              <w:rPr>
                <w:noProof/>
                <w:webHidden/>
              </w:rPr>
            </w:r>
            <w:r w:rsidR="00B4035C">
              <w:rPr>
                <w:noProof/>
                <w:webHidden/>
              </w:rPr>
              <w:fldChar w:fldCharType="separate"/>
            </w:r>
            <w:r w:rsidR="00B4035C">
              <w:rPr>
                <w:noProof/>
                <w:webHidden/>
              </w:rPr>
              <w:t>15</w:t>
            </w:r>
            <w:r w:rsidR="00B4035C">
              <w:rPr>
                <w:noProof/>
                <w:webHidden/>
              </w:rPr>
              <w:fldChar w:fldCharType="end"/>
            </w:r>
          </w:hyperlink>
        </w:p>
        <w:p w14:paraId="39583948" w14:textId="72CC980B" w:rsidR="00B4035C" w:rsidRDefault="00191AEA" w:rsidP="00A71904">
          <w:pPr>
            <w:pStyle w:val="TOC3"/>
            <w:tabs>
              <w:tab w:val="right" w:leader="dot" w:pos="8204"/>
            </w:tabs>
            <w:spacing w:line="360" w:lineRule="auto"/>
            <w:rPr>
              <w:noProof/>
            </w:rPr>
          </w:pPr>
          <w:hyperlink w:anchor="_Toc7096538" w:history="1">
            <w:r w:rsidR="00B4035C" w:rsidRPr="00576832">
              <w:rPr>
                <w:rStyle w:val="Hyperlink"/>
                <w:noProof/>
              </w:rPr>
              <w:t>3.2 Highly insulated boiler and advanced control: Analysis of monthly net cash flows</w:t>
            </w:r>
            <w:r w:rsidR="00B4035C">
              <w:rPr>
                <w:noProof/>
                <w:webHidden/>
              </w:rPr>
              <w:tab/>
            </w:r>
            <w:r w:rsidR="00B4035C">
              <w:rPr>
                <w:noProof/>
                <w:webHidden/>
              </w:rPr>
              <w:fldChar w:fldCharType="begin"/>
            </w:r>
            <w:r w:rsidR="00B4035C">
              <w:rPr>
                <w:noProof/>
                <w:webHidden/>
              </w:rPr>
              <w:instrText xml:space="preserve"> PAGEREF _Toc7096538 \h </w:instrText>
            </w:r>
            <w:r w:rsidR="00B4035C">
              <w:rPr>
                <w:noProof/>
                <w:webHidden/>
              </w:rPr>
            </w:r>
            <w:r w:rsidR="00B4035C">
              <w:rPr>
                <w:noProof/>
                <w:webHidden/>
              </w:rPr>
              <w:fldChar w:fldCharType="separate"/>
            </w:r>
            <w:r w:rsidR="00B4035C">
              <w:rPr>
                <w:noProof/>
                <w:webHidden/>
              </w:rPr>
              <w:t>19</w:t>
            </w:r>
            <w:r w:rsidR="00B4035C">
              <w:rPr>
                <w:noProof/>
                <w:webHidden/>
              </w:rPr>
              <w:fldChar w:fldCharType="end"/>
            </w:r>
          </w:hyperlink>
        </w:p>
        <w:p w14:paraId="089A49CA" w14:textId="5557A3BF" w:rsidR="00B4035C" w:rsidRDefault="00191AEA" w:rsidP="00A71904">
          <w:pPr>
            <w:pStyle w:val="TOC3"/>
            <w:tabs>
              <w:tab w:val="right" w:leader="dot" w:pos="8204"/>
            </w:tabs>
            <w:spacing w:line="360" w:lineRule="auto"/>
            <w:rPr>
              <w:noProof/>
            </w:rPr>
          </w:pPr>
          <w:hyperlink w:anchor="_Toc7096539" w:history="1">
            <w:r w:rsidR="00B4035C" w:rsidRPr="00576832">
              <w:rPr>
                <w:rStyle w:val="Hyperlink"/>
                <w:noProof/>
              </w:rPr>
              <w:t>3.3</w:t>
            </w:r>
            <w:r w:rsidR="00B4035C" w:rsidRPr="00B4035C">
              <w:t xml:space="preserve"> </w:t>
            </w:r>
            <w:r w:rsidR="00B4035C" w:rsidRPr="00B4035C">
              <w:rPr>
                <w:rStyle w:val="Hyperlink"/>
                <w:noProof/>
              </w:rPr>
              <w:t>Net present value analysis</w:t>
            </w:r>
            <w:r w:rsidR="00B4035C">
              <w:rPr>
                <w:noProof/>
                <w:webHidden/>
              </w:rPr>
              <w:tab/>
            </w:r>
            <w:r w:rsidR="00B4035C">
              <w:rPr>
                <w:noProof/>
                <w:webHidden/>
              </w:rPr>
              <w:fldChar w:fldCharType="begin"/>
            </w:r>
            <w:r w:rsidR="00B4035C">
              <w:rPr>
                <w:noProof/>
                <w:webHidden/>
              </w:rPr>
              <w:instrText xml:space="preserve"> PAGEREF _Toc7096539 \h </w:instrText>
            </w:r>
            <w:r w:rsidR="00B4035C">
              <w:rPr>
                <w:noProof/>
                <w:webHidden/>
              </w:rPr>
            </w:r>
            <w:r w:rsidR="00B4035C">
              <w:rPr>
                <w:noProof/>
                <w:webHidden/>
              </w:rPr>
              <w:fldChar w:fldCharType="separate"/>
            </w:r>
            <w:r w:rsidR="00B4035C">
              <w:rPr>
                <w:noProof/>
                <w:webHidden/>
              </w:rPr>
              <w:t>21</w:t>
            </w:r>
            <w:r w:rsidR="00B4035C">
              <w:rPr>
                <w:noProof/>
                <w:webHidden/>
              </w:rPr>
              <w:fldChar w:fldCharType="end"/>
            </w:r>
          </w:hyperlink>
        </w:p>
        <w:p w14:paraId="7A23B848" w14:textId="6A049163" w:rsidR="00B4035C" w:rsidRDefault="00191AEA" w:rsidP="00A71904">
          <w:pPr>
            <w:pStyle w:val="TOC1"/>
            <w:tabs>
              <w:tab w:val="left" w:pos="480"/>
              <w:tab w:val="right" w:leader="dot" w:pos="8204"/>
            </w:tabs>
            <w:spacing w:line="360" w:lineRule="auto"/>
            <w:rPr>
              <w:rFonts w:asciiTheme="minorHAnsi" w:eastAsiaTheme="minorEastAsia" w:hAnsiTheme="minorHAnsi"/>
              <w:noProof/>
              <w:sz w:val="22"/>
              <w:szCs w:val="22"/>
              <w:lang w:val="bg-BG" w:eastAsia="bg-BG"/>
            </w:rPr>
          </w:pPr>
          <w:hyperlink w:anchor="_Toc7096541" w:history="1">
            <w:r w:rsidR="00B4035C" w:rsidRPr="00576832">
              <w:rPr>
                <w:rStyle w:val="Hyperlink"/>
                <w:noProof/>
              </w:rPr>
              <w:t>4.</w:t>
            </w:r>
            <w:r w:rsidR="00B4035C">
              <w:rPr>
                <w:rFonts w:asciiTheme="minorHAnsi" w:eastAsiaTheme="minorEastAsia" w:hAnsiTheme="minorHAnsi"/>
                <w:noProof/>
                <w:sz w:val="22"/>
                <w:szCs w:val="22"/>
                <w:lang w:val="bg-BG" w:eastAsia="bg-BG"/>
              </w:rPr>
              <w:tab/>
            </w:r>
            <w:r w:rsidR="00B4035C" w:rsidRPr="00576832">
              <w:rPr>
                <w:rStyle w:val="Hyperlink"/>
                <w:noProof/>
              </w:rPr>
              <w:t>Conclusion</w:t>
            </w:r>
            <w:r w:rsidR="00B4035C">
              <w:rPr>
                <w:noProof/>
                <w:webHidden/>
              </w:rPr>
              <w:tab/>
            </w:r>
            <w:r w:rsidR="00B4035C">
              <w:rPr>
                <w:noProof/>
                <w:webHidden/>
              </w:rPr>
              <w:fldChar w:fldCharType="begin"/>
            </w:r>
            <w:r w:rsidR="00B4035C">
              <w:rPr>
                <w:noProof/>
                <w:webHidden/>
              </w:rPr>
              <w:instrText xml:space="preserve"> PAGEREF _Toc7096541 \h </w:instrText>
            </w:r>
            <w:r w:rsidR="00B4035C">
              <w:rPr>
                <w:noProof/>
                <w:webHidden/>
              </w:rPr>
            </w:r>
            <w:r w:rsidR="00B4035C">
              <w:rPr>
                <w:noProof/>
                <w:webHidden/>
              </w:rPr>
              <w:fldChar w:fldCharType="separate"/>
            </w:r>
            <w:r w:rsidR="00B4035C">
              <w:rPr>
                <w:noProof/>
                <w:webHidden/>
              </w:rPr>
              <w:t>24</w:t>
            </w:r>
            <w:r w:rsidR="00B4035C">
              <w:rPr>
                <w:noProof/>
                <w:webHidden/>
              </w:rPr>
              <w:fldChar w:fldCharType="end"/>
            </w:r>
          </w:hyperlink>
        </w:p>
        <w:p w14:paraId="4761976B" w14:textId="56709FA2" w:rsidR="00B4035C" w:rsidRDefault="00191AEA" w:rsidP="00A71904">
          <w:pPr>
            <w:pStyle w:val="TOC1"/>
            <w:tabs>
              <w:tab w:val="right" w:leader="dot" w:pos="8204"/>
            </w:tabs>
            <w:spacing w:line="360" w:lineRule="auto"/>
            <w:rPr>
              <w:rFonts w:asciiTheme="minorHAnsi" w:eastAsiaTheme="minorEastAsia" w:hAnsiTheme="minorHAnsi"/>
              <w:noProof/>
              <w:sz w:val="22"/>
              <w:szCs w:val="22"/>
              <w:lang w:val="bg-BG" w:eastAsia="bg-BG"/>
            </w:rPr>
          </w:pPr>
          <w:hyperlink w:anchor="_Toc7096542" w:history="1">
            <w:r w:rsidR="00B4035C" w:rsidRPr="00576832">
              <w:rPr>
                <w:rStyle w:val="Hyperlink"/>
                <w:noProof/>
              </w:rPr>
              <w:t>Bibliography</w:t>
            </w:r>
            <w:r w:rsidR="00B4035C">
              <w:rPr>
                <w:noProof/>
                <w:webHidden/>
              </w:rPr>
              <w:tab/>
            </w:r>
            <w:r w:rsidR="00B4035C">
              <w:rPr>
                <w:noProof/>
                <w:webHidden/>
              </w:rPr>
              <w:fldChar w:fldCharType="begin"/>
            </w:r>
            <w:r w:rsidR="00B4035C">
              <w:rPr>
                <w:noProof/>
                <w:webHidden/>
              </w:rPr>
              <w:instrText xml:space="preserve"> PAGEREF _Toc7096542 \h </w:instrText>
            </w:r>
            <w:r w:rsidR="00B4035C">
              <w:rPr>
                <w:noProof/>
                <w:webHidden/>
              </w:rPr>
            </w:r>
            <w:r w:rsidR="00B4035C">
              <w:rPr>
                <w:noProof/>
                <w:webHidden/>
              </w:rPr>
              <w:fldChar w:fldCharType="separate"/>
            </w:r>
            <w:r w:rsidR="00B4035C">
              <w:rPr>
                <w:noProof/>
                <w:webHidden/>
              </w:rPr>
              <w:t>28</w:t>
            </w:r>
            <w:r w:rsidR="00B4035C">
              <w:rPr>
                <w:noProof/>
                <w:webHidden/>
              </w:rPr>
              <w:fldChar w:fldCharType="end"/>
            </w:r>
          </w:hyperlink>
        </w:p>
        <w:p w14:paraId="111FFFD3" w14:textId="2E9D2E6C" w:rsidR="00141F1C" w:rsidRPr="00814236" w:rsidRDefault="00141F1C">
          <w:r w:rsidRPr="00814236">
            <w:rPr>
              <w:b/>
              <w:bCs/>
              <w:noProof/>
            </w:rPr>
            <w:fldChar w:fldCharType="end"/>
          </w:r>
        </w:p>
      </w:sdtContent>
    </w:sdt>
    <w:p w14:paraId="13AD1A36" w14:textId="05D863D7" w:rsidR="00975A5C" w:rsidRPr="00A907D5" w:rsidRDefault="00975A5C" w:rsidP="00141F1C">
      <w:pPr>
        <w:pStyle w:val="TableofFigures"/>
        <w:tabs>
          <w:tab w:val="right" w:leader="dot" w:pos="8204"/>
        </w:tabs>
        <w:spacing w:line="240" w:lineRule="auto"/>
        <w:rPr>
          <w:rFonts w:cs="Times New Roman"/>
          <w:b/>
          <w:sz w:val="28"/>
          <w:szCs w:val="28"/>
        </w:rPr>
      </w:pPr>
      <w:r w:rsidRPr="00A907D5">
        <w:rPr>
          <w:rFonts w:cs="Times New Roman"/>
          <w:b/>
          <w:sz w:val="28"/>
          <w:szCs w:val="28"/>
        </w:rPr>
        <w:t>List of figures and tables</w:t>
      </w:r>
    </w:p>
    <w:p w14:paraId="52C0606A" w14:textId="597AD817" w:rsidR="00141F1C" w:rsidRPr="00B4035C" w:rsidRDefault="00141F1C" w:rsidP="00A71904">
      <w:pPr>
        <w:pStyle w:val="TableofFigures"/>
        <w:tabs>
          <w:tab w:val="right" w:leader="dot" w:pos="8204"/>
        </w:tabs>
        <w:spacing w:line="360" w:lineRule="auto"/>
        <w:rPr>
          <w:rFonts w:asciiTheme="minorHAnsi" w:eastAsiaTheme="minorEastAsia" w:hAnsiTheme="minorHAnsi"/>
          <w:noProof/>
          <w:sz w:val="22"/>
          <w:szCs w:val="22"/>
          <w:lang w:eastAsia="bg-BG"/>
        </w:rPr>
      </w:pPr>
      <w:r w:rsidRPr="00B4035C">
        <w:rPr>
          <w:rFonts w:cs="Times New Roman"/>
        </w:rPr>
        <w:fldChar w:fldCharType="begin"/>
      </w:r>
      <w:r w:rsidRPr="00A907D5">
        <w:rPr>
          <w:rFonts w:cs="Times New Roman"/>
        </w:rPr>
        <w:instrText xml:space="preserve"> TOC \h \z \c "Figure" </w:instrText>
      </w:r>
      <w:r w:rsidRPr="00B4035C">
        <w:rPr>
          <w:rFonts w:cs="Times New Roman"/>
        </w:rPr>
        <w:fldChar w:fldCharType="separate"/>
      </w:r>
      <w:hyperlink w:anchor="_Toc7073634" w:history="1">
        <w:r w:rsidRPr="00A907D5">
          <w:rPr>
            <w:rStyle w:val="Hyperlink"/>
            <w:noProof/>
          </w:rPr>
          <w:t>Figure 1</w:t>
        </w:r>
        <w:r w:rsidR="00975A5C" w:rsidRPr="00A907D5">
          <w:rPr>
            <w:rStyle w:val="Hyperlink"/>
            <w:noProof/>
          </w:rPr>
          <w:t>.</w:t>
        </w:r>
        <w:r w:rsidRPr="00A907D5">
          <w:rPr>
            <w:rStyle w:val="Hyperlink"/>
            <w:noProof/>
          </w:rPr>
          <w:t xml:space="preserve"> Consumption pattern over 24 hours.</w:t>
        </w:r>
        <w:r w:rsidRPr="00A907D5">
          <w:rPr>
            <w:noProof/>
            <w:webHidden/>
          </w:rPr>
          <w:tab/>
        </w:r>
        <w:r w:rsidRPr="00A907D5">
          <w:rPr>
            <w:noProof/>
            <w:webHidden/>
          </w:rPr>
          <w:fldChar w:fldCharType="begin"/>
        </w:r>
        <w:r w:rsidRPr="00A907D5">
          <w:rPr>
            <w:noProof/>
            <w:webHidden/>
          </w:rPr>
          <w:instrText xml:space="preserve"> PAGEREF _Toc7073634 \h </w:instrText>
        </w:r>
        <w:r w:rsidRPr="00A907D5">
          <w:rPr>
            <w:noProof/>
            <w:webHidden/>
          </w:rPr>
        </w:r>
        <w:r w:rsidRPr="00A907D5">
          <w:rPr>
            <w:noProof/>
            <w:webHidden/>
          </w:rPr>
          <w:fldChar w:fldCharType="separate"/>
        </w:r>
        <w:r w:rsidRPr="00A907D5">
          <w:rPr>
            <w:noProof/>
            <w:webHidden/>
          </w:rPr>
          <w:t>15</w:t>
        </w:r>
        <w:r w:rsidRPr="00A907D5">
          <w:rPr>
            <w:noProof/>
            <w:webHidden/>
          </w:rPr>
          <w:fldChar w:fldCharType="end"/>
        </w:r>
      </w:hyperlink>
    </w:p>
    <w:p w14:paraId="393F9A79" w14:textId="58C0D1E8" w:rsidR="00141F1C" w:rsidRPr="00B4035C" w:rsidRDefault="00191AEA" w:rsidP="00A71904">
      <w:pPr>
        <w:pStyle w:val="TableofFigures"/>
        <w:tabs>
          <w:tab w:val="right" w:leader="dot" w:pos="8204"/>
        </w:tabs>
        <w:spacing w:line="360" w:lineRule="auto"/>
        <w:rPr>
          <w:rFonts w:asciiTheme="minorHAnsi" w:eastAsiaTheme="minorEastAsia" w:hAnsiTheme="minorHAnsi"/>
          <w:noProof/>
          <w:sz w:val="22"/>
          <w:szCs w:val="22"/>
          <w:lang w:eastAsia="bg-BG"/>
        </w:rPr>
      </w:pPr>
      <w:hyperlink w:anchor="_Toc7073635" w:history="1">
        <w:r w:rsidR="00141F1C" w:rsidRPr="00A907D5">
          <w:rPr>
            <w:rStyle w:val="Hyperlink"/>
            <w:noProof/>
          </w:rPr>
          <w:t>Figure 2</w:t>
        </w:r>
        <w:r w:rsidR="00975A5C" w:rsidRPr="00A907D5">
          <w:rPr>
            <w:rStyle w:val="Hyperlink"/>
            <w:noProof/>
          </w:rPr>
          <w:t>.</w:t>
        </w:r>
        <w:r w:rsidR="00141F1C" w:rsidRPr="00A907D5">
          <w:rPr>
            <w:rStyle w:val="Hyperlink"/>
            <w:noProof/>
          </w:rPr>
          <w:t xml:space="preserve"> POS unity price for 2017..</w:t>
        </w:r>
        <w:r w:rsidR="00141F1C" w:rsidRPr="00B4035C">
          <w:rPr>
            <w:noProof/>
            <w:webHidden/>
          </w:rPr>
          <w:tab/>
        </w:r>
        <w:r w:rsidR="00141F1C" w:rsidRPr="00A907D5">
          <w:rPr>
            <w:noProof/>
            <w:webHidden/>
          </w:rPr>
          <w:fldChar w:fldCharType="begin"/>
        </w:r>
        <w:r w:rsidR="00141F1C" w:rsidRPr="00A907D5">
          <w:rPr>
            <w:noProof/>
            <w:webHidden/>
          </w:rPr>
          <w:instrText xml:space="preserve"> PAGEREF _Toc7073635 \h </w:instrText>
        </w:r>
        <w:r w:rsidR="00141F1C" w:rsidRPr="00A907D5">
          <w:rPr>
            <w:noProof/>
            <w:webHidden/>
          </w:rPr>
        </w:r>
        <w:r w:rsidR="00141F1C" w:rsidRPr="00A907D5">
          <w:rPr>
            <w:noProof/>
            <w:webHidden/>
          </w:rPr>
          <w:fldChar w:fldCharType="separate"/>
        </w:r>
        <w:r w:rsidR="00141F1C" w:rsidRPr="00A907D5">
          <w:rPr>
            <w:noProof/>
            <w:webHidden/>
          </w:rPr>
          <w:t>21</w:t>
        </w:r>
        <w:r w:rsidR="00141F1C" w:rsidRPr="00A907D5">
          <w:rPr>
            <w:noProof/>
            <w:webHidden/>
          </w:rPr>
          <w:fldChar w:fldCharType="end"/>
        </w:r>
      </w:hyperlink>
    </w:p>
    <w:p w14:paraId="5815F73C" w14:textId="78418C2B" w:rsidR="00141F1C" w:rsidRPr="00B4035C" w:rsidRDefault="00191AEA" w:rsidP="00A71904">
      <w:pPr>
        <w:pStyle w:val="TableofFigures"/>
        <w:tabs>
          <w:tab w:val="right" w:leader="dot" w:pos="8204"/>
        </w:tabs>
        <w:spacing w:line="360" w:lineRule="auto"/>
        <w:rPr>
          <w:rFonts w:asciiTheme="minorHAnsi" w:eastAsiaTheme="minorEastAsia" w:hAnsiTheme="minorHAnsi"/>
          <w:noProof/>
          <w:sz w:val="22"/>
          <w:szCs w:val="22"/>
          <w:lang w:eastAsia="bg-BG"/>
        </w:rPr>
      </w:pPr>
      <w:hyperlink w:anchor="_Toc7073636" w:history="1">
        <w:r w:rsidR="00141F1C" w:rsidRPr="00A907D5">
          <w:rPr>
            <w:rStyle w:val="Hyperlink"/>
            <w:noProof/>
          </w:rPr>
          <w:t>Figure 3</w:t>
        </w:r>
        <w:r w:rsidR="00975A5C" w:rsidRPr="00A907D5">
          <w:rPr>
            <w:rStyle w:val="Hyperlink"/>
            <w:noProof/>
          </w:rPr>
          <w:t>.</w:t>
        </w:r>
        <w:r w:rsidR="00141F1C" w:rsidRPr="00A907D5">
          <w:rPr>
            <w:rStyle w:val="Hyperlink"/>
            <w:noProof/>
          </w:rPr>
          <w:t xml:space="preserve"> NEG unity price for 2017..</w:t>
        </w:r>
        <w:r w:rsidR="00141F1C" w:rsidRPr="00B4035C">
          <w:rPr>
            <w:noProof/>
            <w:webHidden/>
          </w:rPr>
          <w:tab/>
        </w:r>
        <w:r w:rsidR="00141F1C" w:rsidRPr="00A907D5">
          <w:rPr>
            <w:noProof/>
            <w:webHidden/>
          </w:rPr>
          <w:fldChar w:fldCharType="begin"/>
        </w:r>
        <w:r w:rsidR="00141F1C" w:rsidRPr="00A907D5">
          <w:rPr>
            <w:noProof/>
            <w:webHidden/>
          </w:rPr>
          <w:instrText xml:space="preserve"> PAGEREF _Toc7073636 \h </w:instrText>
        </w:r>
        <w:r w:rsidR="00141F1C" w:rsidRPr="00A907D5">
          <w:rPr>
            <w:noProof/>
            <w:webHidden/>
          </w:rPr>
        </w:r>
        <w:r w:rsidR="00141F1C" w:rsidRPr="00A907D5">
          <w:rPr>
            <w:noProof/>
            <w:webHidden/>
          </w:rPr>
          <w:fldChar w:fldCharType="separate"/>
        </w:r>
        <w:r w:rsidR="00141F1C" w:rsidRPr="00A907D5">
          <w:rPr>
            <w:noProof/>
            <w:webHidden/>
          </w:rPr>
          <w:t>21</w:t>
        </w:r>
        <w:r w:rsidR="00141F1C" w:rsidRPr="00A907D5">
          <w:rPr>
            <w:noProof/>
            <w:webHidden/>
          </w:rPr>
          <w:fldChar w:fldCharType="end"/>
        </w:r>
      </w:hyperlink>
    </w:p>
    <w:p w14:paraId="263B0698" w14:textId="77777777" w:rsidR="003C4BAB" w:rsidRDefault="00141F1C" w:rsidP="00A71904">
      <w:pPr>
        <w:spacing w:line="360" w:lineRule="auto"/>
        <w:rPr>
          <w:noProof/>
        </w:rPr>
      </w:pPr>
      <w:r w:rsidRPr="00B4035C">
        <w:rPr>
          <w:rFonts w:cs="Times New Roman"/>
        </w:rPr>
        <w:fldChar w:fldCharType="end"/>
      </w:r>
      <w:r w:rsidRPr="00A907D5">
        <w:rPr>
          <w:rFonts w:cs="Times New Roman"/>
        </w:rPr>
        <w:fldChar w:fldCharType="begin"/>
      </w:r>
      <w:r w:rsidRPr="00A907D5">
        <w:rPr>
          <w:rFonts w:cs="Times New Roman"/>
        </w:rPr>
        <w:instrText xml:space="preserve"> TOC \h \z \c "Table" </w:instrText>
      </w:r>
      <w:r w:rsidRPr="00A907D5">
        <w:rPr>
          <w:rFonts w:cs="Times New Roman"/>
        </w:rPr>
        <w:fldChar w:fldCharType="separate"/>
      </w:r>
    </w:p>
    <w:p w14:paraId="4178B00A" w14:textId="70B5048E" w:rsidR="003C4BAB" w:rsidRDefault="00191AEA">
      <w:pPr>
        <w:pStyle w:val="TableofFigures"/>
        <w:tabs>
          <w:tab w:val="right" w:leader="dot" w:pos="8204"/>
        </w:tabs>
        <w:rPr>
          <w:rFonts w:asciiTheme="minorHAnsi" w:eastAsiaTheme="minorEastAsia" w:hAnsiTheme="minorHAnsi"/>
          <w:noProof/>
          <w:lang w:val="en-US"/>
        </w:rPr>
      </w:pPr>
      <w:hyperlink w:anchor="_Toc7168695" w:history="1">
        <w:r w:rsidR="003C4BAB" w:rsidRPr="00EC02B0">
          <w:rPr>
            <w:rStyle w:val="Hyperlink"/>
            <w:noProof/>
          </w:rPr>
          <w:t>Table 1</w:t>
        </w:r>
        <w:r w:rsidR="003C4BAB" w:rsidRPr="00EC02B0">
          <w:rPr>
            <w:rStyle w:val="Hyperlink"/>
            <w:rFonts w:cs="Times New Roman"/>
            <w:noProof/>
          </w:rPr>
          <w:t>. Overview of results for the year 2017.</w:t>
        </w:r>
        <w:r w:rsidR="003C4BAB">
          <w:rPr>
            <w:noProof/>
            <w:webHidden/>
          </w:rPr>
          <w:tab/>
        </w:r>
        <w:r w:rsidR="003C4BAB">
          <w:rPr>
            <w:noProof/>
            <w:webHidden/>
          </w:rPr>
          <w:fldChar w:fldCharType="begin"/>
        </w:r>
        <w:r w:rsidR="003C4BAB">
          <w:rPr>
            <w:noProof/>
            <w:webHidden/>
          </w:rPr>
          <w:instrText xml:space="preserve"> PAGEREF _Toc7168695 \h </w:instrText>
        </w:r>
        <w:r w:rsidR="003C4BAB">
          <w:rPr>
            <w:noProof/>
            <w:webHidden/>
          </w:rPr>
        </w:r>
        <w:r w:rsidR="003C4BAB">
          <w:rPr>
            <w:noProof/>
            <w:webHidden/>
          </w:rPr>
          <w:fldChar w:fldCharType="separate"/>
        </w:r>
        <w:r w:rsidR="003C4BAB">
          <w:rPr>
            <w:noProof/>
            <w:webHidden/>
          </w:rPr>
          <w:t>15</w:t>
        </w:r>
        <w:r w:rsidR="003C4BAB">
          <w:rPr>
            <w:noProof/>
            <w:webHidden/>
          </w:rPr>
          <w:fldChar w:fldCharType="end"/>
        </w:r>
      </w:hyperlink>
    </w:p>
    <w:p w14:paraId="4E0639A9" w14:textId="5223E462" w:rsidR="003C4BAB" w:rsidRDefault="00191AEA">
      <w:pPr>
        <w:pStyle w:val="TableofFigures"/>
        <w:tabs>
          <w:tab w:val="right" w:leader="dot" w:pos="8204"/>
        </w:tabs>
        <w:rPr>
          <w:rFonts w:asciiTheme="minorHAnsi" w:eastAsiaTheme="minorEastAsia" w:hAnsiTheme="minorHAnsi"/>
          <w:noProof/>
          <w:lang w:val="en-US"/>
        </w:rPr>
      </w:pPr>
      <w:hyperlink w:anchor="_Toc7168696" w:history="1">
        <w:r w:rsidR="003C4BAB" w:rsidRPr="00EC02B0">
          <w:rPr>
            <w:rStyle w:val="Hyperlink"/>
            <w:noProof/>
          </w:rPr>
          <w:t>Table 2. Impact of augmenting the energy efficiency of the boiler.</w:t>
        </w:r>
        <w:r w:rsidR="003C4BAB">
          <w:rPr>
            <w:noProof/>
            <w:webHidden/>
          </w:rPr>
          <w:tab/>
        </w:r>
        <w:r w:rsidR="003C4BAB">
          <w:rPr>
            <w:noProof/>
            <w:webHidden/>
          </w:rPr>
          <w:fldChar w:fldCharType="begin"/>
        </w:r>
        <w:r w:rsidR="003C4BAB">
          <w:rPr>
            <w:noProof/>
            <w:webHidden/>
          </w:rPr>
          <w:instrText xml:space="preserve"> PAGEREF _Toc7168696 \h </w:instrText>
        </w:r>
        <w:r w:rsidR="003C4BAB">
          <w:rPr>
            <w:noProof/>
            <w:webHidden/>
          </w:rPr>
        </w:r>
        <w:r w:rsidR="003C4BAB">
          <w:rPr>
            <w:noProof/>
            <w:webHidden/>
          </w:rPr>
          <w:fldChar w:fldCharType="separate"/>
        </w:r>
        <w:r w:rsidR="003C4BAB">
          <w:rPr>
            <w:noProof/>
            <w:webHidden/>
          </w:rPr>
          <w:t>20</w:t>
        </w:r>
        <w:r w:rsidR="003C4BAB">
          <w:rPr>
            <w:noProof/>
            <w:webHidden/>
          </w:rPr>
          <w:fldChar w:fldCharType="end"/>
        </w:r>
      </w:hyperlink>
    </w:p>
    <w:p w14:paraId="5FDEF3EA" w14:textId="6B455966" w:rsidR="003C4BAB" w:rsidRDefault="00191AEA">
      <w:pPr>
        <w:pStyle w:val="TableofFigures"/>
        <w:tabs>
          <w:tab w:val="right" w:leader="dot" w:pos="8204"/>
        </w:tabs>
        <w:rPr>
          <w:rFonts w:asciiTheme="minorHAnsi" w:eastAsiaTheme="minorEastAsia" w:hAnsiTheme="minorHAnsi"/>
          <w:noProof/>
          <w:lang w:val="en-US"/>
        </w:rPr>
      </w:pPr>
      <w:hyperlink w:anchor="_Toc7168697" w:history="1">
        <w:r w:rsidR="003C4BAB" w:rsidRPr="00EC02B0">
          <w:rPr>
            <w:rStyle w:val="Hyperlink"/>
            <w:noProof/>
          </w:rPr>
          <w:t>Table 3</w:t>
        </w:r>
        <w:r w:rsidR="003C4BAB" w:rsidRPr="00EC02B0">
          <w:rPr>
            <w:rStyle w:val="Hyperlink"/>
            <w:i/>
            <w:noProof/>
          </w:rPr>
          <w:t xml:space="preserve">. </w:t>
        </w:r>
        <w:r w:rsidR="003C4BAB" w:rsidRPr="00EC02B0">
          <w:rPr>
            <w:rStyle w:val="Hyperlink"/>
            <w:noProof/>
          </w:rPr>
          <w:t>CaPex and OpEx overview</w:t>
        </w:r>
        <w:r w:rsidR="003C4BAB">
          <w:rPr>
            <w:noProof/>
            <w:webHidden/>
          </w:rPr>
          <w:tab/>
        </w:r>
        <w:r w:rsidR="003C4BAB">
          <w:rPr>
            <w:noProof/>
            <w:webHidden/>
          </w:rPr>
          <w:fldChar w:fldCharType="begin"/>
        </w:r>
        <w:r w:rsidR="003C4BAB">
          <w:rPr>
            <w:noProof/>
            <w:webHidden/>
          </w:rPr>
          <w:instrText xml:space="preserve"> PAGEREF _Toc7168697 \h </w:instrText>
        </w:r>
        <w:r w:rsidR="003C4BAB">
          <w:rPr>
            <w:noProof/>
            <w:webHidden/>
          </w:rPr>
        </w:r>
        <w:r w:rsidR="003C4BAB">
          <w:rPr>
            <w:noProof/>
            <w:webHidden/>
          </w:rPr>
          <w:fldChar w:fldCharType="separate"/>
        </w:r>
        <w:r w:rsidR="003C4BAB">
          <w:rPr>
            <w:noProof/>
            <w:webHidden/>
          </w:rPr>
          <w:t>21</w:t>
        </w:r>
        <w:r w:rsidR="003C4BAB">
          <w:rPr>
            <w:noProof/>
            <w:webHidden/>
          </w:rPr>
          <w:fldChar w:fldCharType="end"/>
        </w:r>
      </w:hyperlink>
    </w:p>
    <w:p w14:paraId="07404AF4" w14:textId="003D7E53" w:rsidR="003C4BAB" w:rsidRDefault="00191AEA">
      <w:pPr>
        <w:pStyle w:val="TableofFigures"/>
        <w:tabs>
          <w:tab w:val="right" w:leader="dot" w:pos="8204"/>
        </w:tabs>
        <w:rPr>
          <w:rFonts w:asciiTheme="minorHAnsi" w:eastAsiaTheme="minorEastAsia" w:hAnsiTheme="minorHAnsi"/>
          <w:noProof/>
          <w:lang w:val="en-US"/>
        </w:rPr>
      </w:pPr>
      <w:hyperlink w:anchor="_Toc7168698" w:history="1">
        <w:r w:rsidR="003C4BAB" w:rsidRPr="00EC02B0">
          <w:rPr>
            <w:rStyle w:val="Hyperlink"/>
            <w:noProof/>
          </w:rPr>
          <w:t>Table 4</w:t>
        </w:r>
        <w:r w:rsidR="003C4BAB" w:rsidRPr="00EC02B0">
          <w:rPr>
            <w:rStyle w:val="Hyperlink"/>
            <w:i/>
            <w:noProof/>
          </w:rPr>
          <w:t xml:space="preserve">. </w:t>
        </w:r>
        <w:r w:rsidR="003C4BAB" w:rsidRPr="00EC02B0">
          <w:rPr>
            <w:rStyle w:val="Hyperlink"/>
            <w:noProof/>
          </w:rPr>
          <w:t>Overview of the NPV for different scenarios</w:t>
        </w:r>
        <w:r w:rsidR="003C4BAB">
          <w:rPr>
            <w:noProof/>
            <w:webHidden/>
          </w:rPr>
          <w:tab/>
        </w:r>
        <w:r w:rsidR="003C4BAB">
          <w:rPr>
            <w:noProof/>
            <w:webHidden/>
          </w:rPr>
          <w:fldChar w:fldCharType="begin"/>
        </w:r>
        <w:r w:rsidR="003C4BAB">
          <w:rPr>
            <w:noProof/>
            <w:webHidden/>
          </w:rPr>
          <w:instrText xml:space="preserve"> PAGEREF _Toc7168698 \h </w:instrText>
        </w:r>
        <w:r w:rsidR="003C4BAB">
          <w:rPr>
            <w:noProof/>
            <w:webHidden/>
          </w:rPr>
        </w:r>
        <w:r w:rsidR="003C4BAB">
          <w:rPr>
            <w:noProof/>
            <w:webHidden/>
          </w:rPr>
          <w:fldChar w:fldCharType="separate"/>
        </w:r>
        <w:r w:rsidR="003C4BAB">
          <w:rPr>
            <w:noProof/>
            <w:webHidden/>
          </w:rPr>
          <w:t>24</w:t>
        </w:r>
        <w:r w:rsidR="003C4BAB">
          <w:rPr>
            <w:noProof/>
            <w:webHidden/>
          </w:rPr>
          <w:fldChar w:fldCharType="end"/>
        </w:r>
      </w:hyperlink>
    </w:p>
    <w:p w14:paraId="08B99060" w14:textId="1A2031D6" w:rsidR="001C55FE" w:rsidRPr="003C3CA0" w:rsidRDefault="00141F1C" w:rsidP="00A71904">
      <w:pPr>
        <w:pStyle w:val="Heading1"/>
      </w:pPr>
      <w:r w:rsidRPr="00A907D5">
        <w:rPr>
          <w:rFonts w:cs="Times New Roman"/>
        </w:rPr>
        <w:lastRenderedPageBreak/>
        <w:fldChar w:fldCharType="end"/>
      </w:r>
      <w:bookmarkStart w:id="2" w:name="_Toc528960158"/>
      <w:bookmarkStart w:id="3" w:name="_Toc7096526"/>
      <w:r w:rsidR="001C55FE" w:rsidRPr="003C3CA0">
        <w:t>Introduction</w:t>
      </w:r>
      <w:bookmarkEnd w:id="2"/>
      <w:bookmarkEnd w:id="3"/>
    </w:p>
    <w:p w14:paraId="7AD5755B" w14:textId="63E638E8" w:rsidR="006F1D66" w:rsidRPr="00814236" w:rsidRDefault="00F3102B" w:rsidP="00141F1C">
      <w:pPr>
        <w:rPr>
          <w:rFonts w:cs="Times New Roman"/>
        </w:rPr>
      </w:pPr>
      <w:r w:rsidRPr="00814236">
        <w:rPr>
          <w:rFonts w:cs="Times New Roman"/>
        </w:rPr>
        <w:t xml:space="preserve">Buildings are responsible for about 40% of our </w:t>
      </w:r>
      <w:r w:rsidR="009E432D" w:rsidRPr="00814236">
        <w:rPr>
          <w:rFonts w:cs="Times New Roman"/>
        </w:rPr>
        <w:t>worldwide</w:t>
      </w:r>
      <w:r w:rsidRPr="00814236">
        <w:rPr>
          <w:rFonts w:cs="Times New Roman"/>
        </w:rPr>
        <w:t xml:space="preserve"> energy consumption</w:t>
      </w:r>
      <w:r w:rsidR="001625C1" w:rsidRPr="00814236">
        <w:rPr>
          <w:rFonts w:cs="Times New Roman"/>
        </w:rPr>
        <w:t xml:space="preserve"> and a</w:t>
      </w:r>
      <w:r w:rsidRPr="00814236">
        <w:rPr>
          <w:rFonts w:cs="Times New Roman"/>
        </w:rPr>
        <w:t>bout 50% of this energy is converted by the buildings HVAC (</w:t>
      </w:r>
      <w:r w:rsidR="009D1246" w:rsidRPr="00814236">
        <w:rPr>
          <w:rFonts w:cs="Times New Roman"/>
        </w:rPr>
        <w:t>h</w:t>
      </w:r>
      <w:r w:rsidRPr="00814236">
        <w:rPr>
          <w:rFonts w:cs="Times New Roman"/>
        </w:rPr>
        <w:t xml:space="preserve">eating, </w:t>
      </w:r>
      <w:r w:rsidR="009D1246" w:rsidRPr="00814236">
        <w:rPr>
          <w:rFonts w:cs="Times New Roman"/>
        </w:rPr>
        <w:t>v</w:t>
      </w:r>
      <w:r w:rsidRPr="00814236">
        <w:rPr>
          <w:rFonts w:cs="Times New Roman"/>
        </w:rPr>
        <w:t>entilation</w:t>
      </w:r>
      <w:r w:rsidR="009D1246" w:rsidRPr="00814236">
        <w:rPr>
          <w:rFonts w:cs="Times New Roman"/>
        </w:rPr>
        <w:t>,</w:t>
      </w:r>
      <w:r w:rsidRPr="00814236">
        <w:rPr>
          <w:rFonts w:cs="Times New Roman"/>
        </w:rPr>
        <w:t xml:space="preserve"> and </w:t>
      </w:r>
      <w:r w:rsidR="009D1246" w:rsidRPr="00814236">
        <w:rPr>
          <w:rFonts w:cs="Times New Roman"/>
        </w:rPr>
        <w:t>a</w:t>
      </w:r>
      <w:r w:rsidRPr="00814236">
        <w:rPr>
          <w:rFonts w:cs="Times New Roman"/>
        </w:rPr>
        <w:t xml:space="preserve">ir </w:t>
      </w:r>
      <w:r w:rsidR="009D1246" w:rsidRPr="00814236">
        <w:rPr>
          <w:rFonts w:cs="Times New Roman"/>
        </w:rPr>
        <w:t>c</w:t>
      </w:r>
      <w:r w:rsidRPr="00814236">
        <w:rPr>
          <w:rFonts w:cs="Times New Roman"/>
        </w:rPr>
        <w:t xml:space="preserve">onditioning) </w:t>
      </w:r>
      <w:r w:rsidR="009E432D" w:rsidRPr="00814236">
        <w:rPr>
          <w:rFonts w:cs="Times New Roman"/>
        </w:rPr>
        <w:t>systems.</w:t>
      </w:r>
      <w:r w:rsidRPr="00814236">
        <w:rPr>
          <w:rFonts w:cs="Times New Roman"/>
        </w:rPr>
        <w:t xml:space="preserve"> Part of th</w:t>
      </w:r>
      <w:r w:rsidR="009D1246" w:rsidRPr="00814236">
        <w:rPr>
          <w:rFonts w:cs="Times New Roman"/>
        </w:rPr>
        <w:t>is</w:t>
      </w:r>
      <w:r w:rsidRPr="00814236">
        <w:rPr>
          <w:rFonts w:cs="Times New Roman"/>
        </w:rPr>
        <w:t xml:space="preserve"> energy is sourced from renewable energy </w:t>
      </w:r>
      <w:r w:rsidR="003B0C05" w:rsidRPr="00814236">
        <w:rPr>
          <w:rFonts w:cs="Times New Roman"/>
        </w:rPr>
        <w:t>and the share is ever increasin</w:t>
      </w:r>
      <w:r w:rsidR="00EF7FA9" w:rsidRPr="00814236">
        <w:rPr>
          <w:rFonts w:cs="Times New Roman"/>
        </w:rPr>
        <w:t>g</w:t>
      </w:r>
      <w:r w:rsidR="00890D34" w:rsidRPr="00814236">
        <w:rPr>
          <w:rFonts w:cs="Times New Roman"/>
        </w:rPr>
        <w:t xml:space="preserve"> </w:t>
      </w:r>
      <w:r w:rsidR="00890D34" w:rsidRPr="00814236">
        <w:rPr>
          <w:rFonts w:cs="Times New Roman"/>
        </w:rPr>
        <w:fldChar w:fldCharType="begin" w:fldLock="1"/>
      </w:r>
      <w:r w:rsidR="00D46911" w:rsidRPr="00814236">
        <w:rPr>
          <w:rFonts w:cs="Times New Roman"/>
        </w:rPr>
        <w:instrText>ADDIN CSL_CITATION {"citationItems":[{"id":"ITEM-1","itemData":{"DOI":"10.1016/j.apenergy.2017.06.040","ISSN":"03062619","abstract":"Demand Side Management (DSM) provides ancillary service to the electric grid by modifying customers electricity demand. Demand Response (DR) and Demand Flexibility (DF) programs from buildings are well-adopted ancillary services to reduce the peak demand in grids by altering the power consumption strategy. Heating, Ventilation and Air-Conditioning (HVAC) systems are one of the largest energy demands in commercial buildings. In addition, HVAC systems are flexible to provide DR service to the grid. In this study, two common configuration topologies of building integration with Energy Storage Systems (ESS) and renewables are considered. A real-time optimization framework based on Model Predictive Control (MPC) is designed to control the power flow from the grid, solar Photovoltaic (PV) panels, and ESS to a commercial building with HVAC systems. The MPC framework uses the inherent thermal mass storage of the building and the ESS as a means to provide DR. Deterministic and probabilistic analysis are studied to investigate the effectiveness of the proposed framework on Building-to-Grid (B2G) systems. Our deterministic results show that the proposed optimization and control framework for B2G systems can significantly reduce the maximum load ramp-rate of the electric grid to prevent duck-curve problems associated with increase in solar PV penetration into the grid. Based on probabilistic results, even under prediction uncertainties, electricity cost saving and ramp-rate reduction is achievable. The results show that this DR service does not affect the building indoor climate in a way noticeable to humans and its effect on the operational building costs is reduced. The B2G simulation testbed in this paper is based on the experimental data obtained from an office building, PV panels, and battery packs integrated with a three-phase unbalanced distribution test feeder. A Monte-Carlo simulation is carried out to account for uncertainties of the proposed method. Both deterministic and stochastic analyses show the effectiveness of the proposed predictive power flow control to decrease the building operation electricity costs and load ramp-rates.","author":[{"dropping-particle":"","family":"Razmara","given":"M.","non-dropping-particle":"","parse-names":false,"suffix":""},{"dropping-particle":"","family":"Bharati","given":"G. R.","non-dropping-particle":"","parse-names":false,"suffix":""},{"dropping-particle":"","family":"Hanover","given":"Drew","non-dropping-particle":"","parse-names":false,"suffix":""},{"dropping-particle":"","family":"Shahbakhti","given":"M.","non-dropping-particle":"","parse-names":false,"suffix":""},{"dropping-particle":"","family":"Paudyal","given":"S.","non-dropping-particle":"","parse-names":false,"suffix":""},{"dropping-particle":"","family":"Robinett","given":"R. D.","non-dropping-particle":"","parse-names":false,"suffix":""}],"container-title":"Applied Energy","id":"ITEM-1","issued":{"date-parts":[["2017"]]},"page":"128-141","publisher":"Elsevier Ltd","title":"Building-to-grid predictive power flow control for demand response and demand flexibility programs","type":"article-journal","volume":"203"},"uris":["http://www.mendeley.com/documents/?uuid=645e0114-8f0b-4349-a624-b6e9564fa065"]},{"id":"ITEM-2","itemData":{"DOI":"10.1016/j.energy.2009.05.021","abstract":"a b s t r a c t Over the last few years, load growth, increases in intermittent generation, declining technology costs and increasing recognition of the importance of customer behaviour in energy markets have brought about a change in the focus of Demand Response (DR) in Europe. The long standing programmes involving large industries, through interruptible tariffs and time of day pricing, have been increasingly com-plemented by programmes aimed at commercial and residential customer groups. Developments in DR vary substantially across Europe reflecting national conditions and triggered by different sets of policies, programmes and implementation schemes. This paper examines experiences within European countries as well as at European Union (EU) level, with the aim of understanding which factors have facilitated or impeded advances in DR. It describes initiatives, studies and policies of various European countries, with in-depth case studies of the UK, Italy and Spain. It is concluded that while business programmes, technical and economic potentials vary across Europe, there are common reasons as to why coordinated DR policies have been slow to emerge. This is because of the limited knowledge on DR energy saving capacities; high cost estimates for DR technologies and infrastructures; and policies focused on creating the conditions for liberalising the EU energy markets.","author":[{"dropping-particle":"","family":"Torriti","given":"Jacopo","non-dropping-particle":"","parse-names":false,"suffix":""},{"dropping-particle":"","family":"Hassan","given":"Mohamed G","non-dropping-particle":"","parse-names":false,"suffix":""},{"dropping-particle":"","family":"Leach","given":"Matthew","non-dropping-particle":"","parse-names":false,"suffix":""}],"id":"ITEM-2","issued":{"date-parts":[["2009"]]},"title":"Demand response experience in Europe: Policies, programmes and implementation","type":"article-journal"},"uris":["http://www.mendeley.com/documents/?uuid=c43484be-f197-3bbc-a49d-be91ec023174"]}],"mendeley":{"formattedCitation":"(Razmara et al., 2017; Torriti, Hassan, &amp; Leach, 2009)","plainTextFormattedCitation":"(Razmara et al., 2017; Torriti, Hassan, &amp; Leach, 2009)","previouslyFormattedCitation":"(Razmara et al., 2017; Torriti, Hassan, &amp; Leach, 2009)"},"properties":{"noteIndex":0},"schema":"https://github.com/citation-style-language/schema/raw/master/csl-citation.json"}</w:instrText>
      </w:r>
      <w:r w:rsidR="00890D34" w:rsidRPr="00814236">
        <w:rPr>
          <w:rFonts w:cs="Times New Roman"/>
        </w:rPr>
        <w:fldChar w:fldCharType="separate"/>
      </w:r>
      <w:r w:rsidR="002F3E14" w:rsidRPr="00814236">
        <w:rPr>
          <w:rFonts w:cs="Times New Roman"/>
          <w:noProof/>
        </w:rPr>
        <w:t>(Razmara et al., 2017; Torriti, Hassan, &amp; Leach, 2009)</w:t>
      </w:r>
      <w:r w:rsidR="00890D34" w:rsidRPr="00814236">
        <w:rPr>
          <w:rFonts w:cs="Times New Roman"/>
        </w:rPr>
        <w:fldChar w:fldCharType="end"/>
      </w:r>
      <w:r w:rsidRPr="00814236">
        <w:rPr>
          <w:rFonts w:cs="Times New Roman"/>
        </w:rPr>
        <w:t xml:space="preserve">. </w:t>
      </w:r>
      <w:r w:rsidR="009D1246" w:rsidRPr="00814236">
        <w:rPr>
          <w:rFonts w:cs="Times New Roman"/>
        </w:rPr>
        <w:t xml:space="preserve">According to the </w:t>
      </w:r>
      <w:r w:rsidR="00B43669" w:rsidRPr="00814236">
        <w:rPr>
          <w:rFonts w:cs="Times New Roman"/>
        </w:rPr>
        <w:t>European</w:t>
      </w:r>
      <w:r w:rsidR="009D1246" w:rsidRPr="00814236">
        <w:rPr>
          <w:rFonts w:cs="Times New Roman"/>
        </w:rPr>
        <w:t xml:space="preserve"> </w:t>
      </w:r>
      <w:r w:rsidR="006F1D66" w:rsidRPr="00814236">
        <w:rPr>
          <w:rFonts w:cs="Times New Roman"/>
        </w:rPr>
        <w:t>U</w:t>
      </w:r>
      <w:r w:rsidR="009D1246" w:rsidRPr="00814236">
        <w:rPr>
          <w:rFonts w:cs="Times New Roman"/>
        </w:rPr>
        <w:t>nion’s</w:t>
      </w:r>
      <w:r w:rsidR="006F1D66" w:rsidRPr="00814236">
        <w:rPr>
          <w:rFonts w:cs="Times New Roman"/>
        </w:rPr>
        <w:t xml:space="preserve"> </w:t>
      </w:r>
      <w:r w:rsidR="009D1246" w:rsidRPr="00814236">
        <w:rPr>
          <w:rFonts w:cs="Times New Roman"/>
        </w:rPr>
        <w:t xml:space="preserve">(EU) </w:t>
      </w:r>
      <w:r w:rsidR="006F1D66" w:rsidRPr="00814236">
        <w:rPr>
          <w:rFonts w:cs="Times New Roman"/>
        </w:rPr>
        <w:t>directive on renewable energy targets</w:t>
      </w:r>
      <w:r w:rsidR="009D1246" w:rsidRPr="00814236">
        <w:rPr>
          <w:rFonts w:cs="Times New Roman"/>
        </w:rPr>
        <w:t>,</w:t>
      </w:r>
      <w:r w:rsidR="006F1D66" w:rsidRPr="00814236">
        <w:rPr>
          <w:rFonts w:cs="Times New Roman"/>
        </w:rPr>
        <w:t xml:space="preserve"> 20% of energy </w:t>
      </w:r>
      <w:r w:rsidR="009D1246" w:rsidRPr="00814236">
        <w:rPr>
          <w:rFonts w:cs="Times New Roman"/>
        </w:rPr>
        <w:t xml:space="preserve">should be </w:t>
      </w:r>
      <w:r w:rsidR="006F1D66" w:rsidRPr="00814236">
        <w:rPr>
          <w:rFonts w:cs="Times New Roman"/>
        </w:rPr>
        <w:t xml:space="preserve">sourced from renewable energy </w:t>
      </w:r>
      <w:r w:rsidR="009B2D13" w:rsidRPr="00814236">
        <w:rPr>
          <w:rFonts w:cs="Times New Roman"/>
        </w:rPr>
        <w:fldChar w:fldCharType="begin" w:fldLock="1"/>
      </w:r>
      <w:r w:rsidR="00D46911" w:rsidRPr="00814236">
        <w:rPr>
          <w:rFonts w:cs="Times New Roman"/>
        </w:rPr>
        <w:instrText>ADDIN CSL_CITATION {"citationItems":[{"id":"ITEM-1","itemData":{"URL":"https://ec.europa.eu/energy/en/topics/renewable-energy","accessed":{"date-parts":[["2018","9","15"]]},"id":"ITEM-1","issued":{"date-parts":[["0"]]},"title":"Renewable energy - European Commission","type":"webpage"},"uris":["http://www.mendeley.com/documents/?uuid=6ba0e3e3-aeb5-3cc6-bcff-b2c8b45f7c8a","http://www.mendeley.com/documents/?uuid=261ac130-25d9-453e-a339-a725918e9852"]}],"mendeley":{"formattedCitation":"(“Renewable energy - European Commission,” n.d.)","plainTextFormattedCitation":"(“Renewable energy - European Commission,” n.d.)","previouslyFormattedCitation":"(“Renewable energy - European Commission,” n.d.)"},"properties":{"noteIndex":0},"schema":"https://github.com/citation-style-language/schema/raw/master/csl-citation.json"}</w:instrText>
      </w:r>
      <w:r w:rsidR="009B2D13" w:rsidRPr="00814236">
        <w:rPr>
          <w:rFonts w:cs="Times New Roman"/>
        </w:rPr>
        <w:fldChar w:fldCharType="separate"/>
      </w:r>
      <w:r w:rsidR="002F3E14" w:rsidRPr="00814236">
        <w:rPr>
          <w:rFonts w:cs="Times New Roman"/>
          <w:noProof/>
        </w:rPr>
        <w:t>(European Commission, n.d.</w:t>
      </w:r>
      <w:r w:rsidR="005B7293" w:rsidRPr="00814236">
        <w:rPr>
          <w:rFonts w:cs="Times New Roman"/>
          <w:noProof/>
        </w:rPr>
        <w:t>, Renewable Energy</w:t>
      </w:r>
      <w:r w:rsidR="002F3E14" w:rsidRPr="00814236">
        <w:rPr>
          <w:rFonts w:cs="Times New Roman"/>
          <w:noProof/>
        </w:rPr>
        <w:t>)</w:t>
      </w:r>
      <w:r w:rsidR="009B2D13" w:rsidRPr="00814236">
        <w:rPr>
          <w:rFonts w:cs="Times New Roman"/>
        </w:rPr>
        <w:fldChar w:fldCharType="end"/>
      </w:r>
      <w:r w:rsidR="006F1D66" w:rsidRPr="00814236">
        <w:rPr>
          <w:rFonts w:cs="Times New Roman"/>
        </w:rPr>
        <w:t xml:space="preserve">. This objective </w:t>
      </w:r>
      <w:r w:rsidR="009D1246" w:rsidRPr="00814236">
        <w:rPr>
          <w:rFonts w:cs="Times New Roman"/>
        </w:rPr>
        <w:t>has been</w:t>
      </w:r>
      <w:r w:rsidR="006F1D66" w:rsidRPr="00814236">
        <w:rPr>
          <w:rFonts w:cs="Times New Roman"/>
        </w:rPr>
        <w:t xml:space="preserve"> translated in</w:t>
      </w:r>
      <w:r w:rsidR="009D1246" w:rsidRPr="00814236">
        <w:rPr>
          <w:rFonts w:cs="Times New Roman"/>
        </w:rPr>
        <w:t>to</w:t>
      </w:r>
      <w:r w:rsidR="006F1D66" w:rsidRPr="00814236">
        <w:rPr>
          <w:rFonts w:cs="Times New Roman"/>
        </w:rPr>
        <w:t xml:space="preserve"> national action plans, where member states define how they will achieve th</w:t>
      </w:r>
      <w:r w:rsidR="009D1246" w:rsidRPr="00814236">
        <w:rPr>
          <w:rFonts w:cs="Times New Roman"/>
        </w:rPr>
        <w:t>is</w:t>
      </w:r>
      <w:r w:rsidR="006F1D66" w:rsidRPr="00814236">
        <w:rPr>
          <w:rFonts w:cs="Times New Roman"/>
        </w:rPr>
        <w:t xml:space="preserve"> goal. </w:t>
      </w:r>
      <w:r w:rsidR="009D1246" w:rsidRPr="00814236">
        <w:rPr>
          <w:rFonts w:cs="Times New Roman"/>
        </w:rPr>
        <w:t xml:space="preserve">A </w:t>
      </w:r>
      <w:r w:rsidR="00AF5F4B" w:rsidRPr="00814236">
        <w:rPr>
          <w:rFonts w:cs="Times New Roman"/>
        </w:rPr>
        <w:t xml:space="preserve">new target </w:t>
      </w:r>
      <w:r w:rsidR="009D1246" w:rsidRPr="00814236">
        <w:rPr>
          <w:rFonts w:cs="Times New Roman"/>
        </w:rPr>
        <w:t>has now been</w:t>
      </w:r>
      <w:r w:rsidR="00AF5F4B" w:rsidRPr="00814236">
        <w:rPr>
          <w:rFonts w:cs="Times New Roman"/>
        </w:rPr>
        <w:t xml:space="preserve"> set f</w:t>
      </w:r>
      <w:r w:rsidR="006F1D66" w:rsidRPr="00814236">
        <w:rPr>
          <w:rFonts w:cs="Times New Roman"/>
        </w:rPr>
        <w:t>or 2030</w:t>
      </w:r>
      <w:r w:rsidR="009D1246" w:rsidRPr="00814236">
        <w:rPr>
          <w:rFonts w:cs="Times New Roman"/>
        </w:rPr>
        <w:t xml:space="preserve"> that states that a</w:t>
      </w:r>
      <w:r w:rsidR="006F1D66" w:rsidRPr="00814236">
        <w:rPr>
          <w:rFonts w:cs="Times New Roman"/>
        </w:rPr>
        <w:t xml:space="preserve">t least 27% of the EU’s final energy consumption needs to be sourced from renewable energy </w:t>
      </w:r>
      <w:r w:rsidR="009B2D13" w:rsidRPr="00814236">
        <w:rPr>
          <w:rFonts w:cs="Times New Roman"/>
        </w:rPr>
        <w:fldChar w:fldCharType="begin" w:fldLock="1"/>
      </w:r>
      <w:r w:rsidR="00D46911" w:rsidRPr="00814236">
        <w:rPr>
          <w:rFonts w:cs="Times New Roman"/>
        </w:rPr>
        <w:instrText>ADDIN CSL_CITATION {"citationItems":[{"id":"ITEM-1","itemData":{"URL":"https://ec.europa.eu/energy/en/topics/energy-strategy-and-energy-union/2030-energy-strategy","accessed":{"date-parts":[["2018","9","15"]]},"id":"ITEM-1","issued":{"date-parts":[["0"]]},"title":"2030 Energy Strategy - European Commission","type":"webpage"},"uris":["http://www.mendeley.com/documents/?uuid=bb68fb2b-86d2-3421-b0d9-ca1820d1bfd7","http://www.mendeley.com/documents/?uuid=9a58abcd-4e52-4182-bf22-09dfb6c493c6"]}],"mendeley":{"formattedCitation":"(“2030 Energy Strategy - European Commission,” n.d.)","plainTextFormattedCitation":"(“2030 Energy Strategy - European Commission,” n.d.)","previouslyFormattedCitation":"(“2030 Energy Strategy - European Commission,” n.d.)"},"properties":{"noteIndex":0},"schema":"https://github.com/citation-style-language/schema/raw/master/csl-citation.json"}</w:instrText>
      </w:r>
      <w:r w:rsidR="009B2D13" w:rsidRPr="00814236">
        <w:rPr>
          <w:rFonts w:cs="Times New Roman"/>
        </w:rPr>
        <w:fldChar w:fldCharType="separate"/>
      </w:r>
      <w:r w:rsidR="002F3E14" w:rsidRPr="00814236">
        <w:rPr>
          <w:rFonts w:cs="Times New Roman"/>
          <w:noProof/>
        </w:rPr>
        <w:t>(European Commission, n.d.</w:t>
      </w:r>
      <w:r w:rsidR="00E927FA" w:rsidRPr="00814236">
        <w:rPr>
          <w:rFonts w:cs="Times New Roman"/>
          <w:noProof/>
        </w:rPr>
        <w:t>, 2030 Energy Strategy</w:t>
      </w:r>
      <w:r w:rsidR="002F3E14" w:rsidRPr="00814236">
        <w:rPr>
          <w:rFonts w:cs="Times New Roman"/>
          <w:noProof/>
        </w:rPr>
        <w:t>)</w:t>
      </w:r>
      <w:r w:rsidR="009B2D13" w:rsidRPr="00814236">
        <w:rPr>
          <w:rFonts w:cs="Times New Roman"/>
        </w:rPr>
        <w:fldChar w:fldCharType="end"/>
      </w:r>
      <w:r w:rsidR="006F1D66" w:rsidRPr="00814236">
        <w:rPr>
          <w:rFonts w:cs="Times New Roman"/>
        </w:rPr>
        <w:t xml:space="preserve">. </w:t>
      </w:r>
    </w:p>
    <w:p w14:paraId="1CCD5473" w14:textId="3E2D38DE" w:rsidR="009D1246" w:rsidRPr="00814236" w:rsidRDefault="00190CEE" w:rsidP="00141F1C">
      <w:pPr>
        <w:rPr>
          <w:rFonts w:cs="Times New Roman"/>
        </w:rPr>
      </w:pPr>
      <w:r w:rsidRPr="00814236">
        <w:rPr>
          <w:rFonts w:cs="Times New Roman"/>
        </w:rPr>
        <w:t xml:space="preserve">The increasing share of </w:t>
      </w:r>
      <w:r w:rsidR="009D3F68" w:rsidRPr="00814236">
        <w:rPr>
          <w:rFonts w:cs="Times New Roman"/>
        </w:rPr>
        <w:t xml:space="preserve">renewable energy sources </w:t>
      </w:r>
      <w:r w:rsidRPr="00814236">
        <w:rPr>
          <w:rFonts w:cs="Times New Roman"/>
        </w:rPr>
        <w:t>creates challenges</w:t>
      </w:r>
      <w:r w:rsidR="009D3F68" w:rsidRPr="00814236">
        <w:rPr>
          <w:rFonts w:cs="Times New Roman"/>
        </w:rPr>
        <w:t xml:space="preserve"> to </w:t>
      </w:r>
      <w:r w:rsidRPr="00814236">
        <w:rPr>
          <w:rFonts w:cs="Times New Roman"/>
        </w:rPr>
        <w:t>guarant</w:t>
      </w:r>
      <w:r w:rsidR="00975A5C">
        <w:rPr>
          <w:rFonts w:cs="Times New Roman"/>
        </w:rPr>
        <w:t>e</w:t>
      </w:r>
      <w:r w:rsidRPr="00814236">
        <w:rPr>
          <w:rFonts w:cs="Times New Roman"/>
        </w:rPr>
        <w:t>e</w:t>
      </w:r>
      <w:r w:rsidR="00975A5C">
        <w:rPr>
          <w:rFonts w:cs="Times New Roman"/>
        </w:rPr>
        <w:t>ing</w:t>
      </w:r>
      <w:r w:rsidRPr="00814236">
        <w:rPr>
          <w:rFonts w:cs="Times New Roman"/>
        </w:rPr>
        <w:t xml:space="preserve"> </w:t>
      </w:r>
      <w:r w:rsidR="009D3F68" w:rsidRPr="00814236">
        <w:rPr>
          <w:rFonts w:cs="Times New Roman"/>
        </w:rPr>
        <w:t xml:space="preserve">the stability of the net. </w:t>
      </w:r>
      <w:r w:rsidR="005B7293" w:rsidRPr="00814236">
        <w:rPr>
          <w:rFonts w:cs="Times New Roman"/>
        </w:rPr>
        <w:t>While r</w:t>
      </w:r>
      <w:r w:rsidR="00F3102B" w:rsidRPr="00814236">
        <w:rPr>
          <w:rFonts w:cs="Times New Roman"/>
        </w:rPr>
        <w:t xml:space="preserve">enewable energy sources </w:t>
      </w:r>
      <w:r w:rsidR="009D1246" w:rsidRPr="00814236">
        <w:rPr>
          <w:rFonts w:cs="Times New Roman"/>
        </w:rPr>
        <w:t>are</w:t>
      </w:r>
      <w:r w:rsidR="00E15292" w:rsidRPr="00814236">
        <w:rPr>
          <w:rFonts w:cs="Times New Roman"/>
        </w:rPr>
        <w:t xml:space="preserve"> more environmentally friendly </w:t>
      </w:r>
      <w:r w:rsidR="009D1246" w:rsidRPr="00814236">
        <w:rPr>
          <w:rFonts w:cs="Times New Roman"/>
        </w:rPr>
        <w:t>than</w:t>
      </w:r>
      <w:r w:rsidR="00F3102B" w:rsidRPr="00814236">
        <w:rPr>
          <w:rFonts w:cs="Times New Roman"/>
        </w:rPr>
        <w:t xml:space="preserve"> the classical</w:t>
      </w:r>
      <w:r w:rsidR="009D1246" w:rsidRPr="00814236">
        <w:rPr>
          <w:rFonts w:cs="Times New Roman"/>
        </w:rPr>
        <w:t>,</w:t>
      </w:r>
      <w:r w:rsidR="00E15292" w:rsidRPr="00814236">
        <w:rPr>
          <w:rFonts w:cs="Times New Roman"/>
        </w:rPr>
        <w:t xml:space="preserve"> </w:t>
      </w:r>
      <w:r w:rsidR="005927F9" w:rsidRPr="00814236">
        <w:rPr>
          <w:rFonts w:cs="Times New Roman"/>
        </w:rPr>
        <w:t>carbon-based</w:t>
      </w:r>
      <w:r w:rsidR="00F3102B" w:rsidRPr="00814236">
        <w:rPr>
          <w:rFonts w:cs="Times New Roman"/>
        </w:rPr>
        <w:t xml:space="preserve"> energy sources</w:t>
      </w:r>
      <w:r w:rsidR="009D1246" w:rsidRPr="00814236">
        <w:rPr>
          <w:rFonts w:cs="Times New Roman"/>
        </w:rPr>
        <w:t xml:space="preserve">, </w:t>
      </w:r>
      <w:r w:rsidR="00F3102B" w:rsidRPr="00814236">
        <w:rPr>
          <w:rFonts w:cs="Times New Roman"/>
        </w:rPr>
        <w:t xml:space="preserve">they </w:t>
      </w:r>
      <w:r w:rsidR="00185FFC" w:rsidRPr="00814236">
        <w:rPr>
          <w:rFonts w:cs="Times New Roman"/>
        </w:rPr>
        <w:t>are more volatile</w:t>
      </w:r>
      <w:r w:rsidR="009D1246" w:rsidRPr="00814236">
        <w:rPr>
          <w:rFonts w:cs="Times New Roman"/>
        </w:rPr>
        <w:t>,</w:t>
      </w:r>
      <w:r w:rsidR="00F3102B" w:rsidRPr="00814236">
        <w:rPr>
          <w:rFonts w:cs="Times New Roman"/>
        </w:rPr>
        <w:t xml:space="preserve"> whic</w:t>
      </w:r>
      <w:r w:rsidR="009B2D13" w:rsidRPr="00814236">
        <w:rPr>
          <w:rFonts w:cs="Times New Roman"/>
        </w:rPr>
        <w:t xml:space="preserve">h could lead to an </w:t>
      </w:r>
      <w:r w:rsidR="009D1246" w:rsidRPr="00814236">
        <w:rPr>
          <w:rFonts w:cs="Times New Roman"/>
        </w:rPr>
        <w:t>im</w:t>
      </w:r>
      <w:r w:rsidR="009B2D13" w:rsidRPr="00814236">
        <w:rPr>
          <w:rFonts w:cs="Times New Roman"/>
        </w:rPr>
        <w:t>balance</w:t>
      </w:r>
      <w:r w:rsidR="00F3102B" w:rsidRPr="00814236">
        <w:rPr>
          <w:rFonts w:cs="Times New Roman"/>
        </w:rPr>
        <w:t xml:space="preserve"> </w:t>
      </w:r>
      <w:r w:rsidR="009D1246" w:rsidRPr="00814236">
        <w:rPr>
          <w:rFonts w:cs="Times New Roman"/>
        </w:rPr>
        <w:t>i</w:t>
      </w:r>
      <w:r w:rsidR="00F3102B" w:rsidRPr="00814236">
        <w:rPr>
          <w:rFonts w:cs="Times New Roman"/>
        </w:rPr>
        <w:t xml:space="preserve">n the transmission grid. </w:t>
      </w:r>
      <w:r w:rsidR="005B7293" w:rsidRPr="00814236">
        <w:rPr>
          <w:rFonts w:cs="Times New Roman"/>
        </w:rPr>
        <w:t xml:space="preserve">This </w:t>
      </w:r>
      <w:r w:rsidR="009D1246" w:rsidRPr="00814236">
        <w:rPr>
          <w:rFonts w:cs="Times New Roman"/>
        </w:rPr>
        <w:t>im</w:t>
      </w:r>
      <w:r w:rsidR="009B2D13" w:rsidRPr="00814236">
        <w:rPr>
          <w:rFonts w:cs="Times New Roman"/>
        </w:rPr>
        <w:t xml:space="preserve">balance </w:t>
      </w:r>
      <w:r w:rsidR="005B7293" w:rsidRPr="00814236">
        <w:rPr>
          <w:rFonts w:cs="Times New Roman"/>
        </w:rPr>
        <w:t xml:space="preserve">relates to </w:t>
      </w:r>
      <w:r w:rsidR="009B2D13" w:rsidRPr="00814236">
        <w:rPr>
          <w:rFonts w:cs="Times New Roman"/>
        </w:rPr>
        <w:t xml:space="preserve">a difference between </w:t>
      </w:r>
      <w:r w:rsidR="009D1246" w:rsidRPr="00814236">
        <w:rPr>
          <w:rFonts w:cs="Times New Roman"/>
        </w:rPr>
        <w:t xml:space="preserve">the </w:t>
      </w:r>
      <w:r w:rsidR="009B2D13" w:rsidRPr="00814236">
        <w:rPr>
          <w:rFonts w:cs="Times New Roman"/>
        </w:rPr>
        <w:t xml:space="preserve">supply and demand </w:t>
      </w:r>
      <w:r w:rsidR="00185FFC" w:rsidRPr="00814236">
        <w:rPr>
          <w:rFonts w:cs="Times New Roman"/>
        </w:rPr>
        <w:t xml:space="preserve">of power </w:t>
      </w:r>
      <w:r w:rsidR="009D1246" w:rsidRPr="00814236">
        <w:rPr>
          <w:rFonts w:cs="Times New Roman"/>
        </w:rPr>
        <w:t>that c</w:t>
      </w:r>
      <w:r w:rsidR="005B7293" w:rsidRPr="00814236">
        <w:rPr>
          <w:rFonts w:cs="Times New Roman"/>
        </w:rPr>
        <w:t xml:space="preserve">ould </w:t>
      </w:r>
      <w:r w:rsidR="009B2D13" w:rsidRPr="00814236">
        <w:rPr>
          <w:rFonts w:cs="Times New Roman"/>
        </w:rPr>
        <w:t xml:space="preserve">lead to a </w:t>
      </w:r>
      <w:r w:rsidR="005B7293" w:rsidRPr="00814236">
        <w:rPr>
          <w:rFonts w:cs="Times New Roman"/>
        </w:rPr>
        <w:t>‘</w:t>
      </w:r>
      <w:r w:rsidR="009B2D13" w:rsidRPr="00814236">
        <w:rPr>
          <w:rFonts w:cs="Times New Roman"/>
        </w:rPr>
        <w:t>brownout</w:t>
      </w:r>
      <w:r w:rsidR="005B7293" w:rsidRPr="00814236">
        <w:rPr>
          <w:rFonts w:cs="Times New Roman"/>
        </w:rPr>
        <w:t>’</w:t>
      </w:r>
      <w:r w:rsidR="009D1246" w:rsidRPr="00814236">
        <w:rPr>
          <w:rFonts w:cs="Times New Roman"/>
        </w:rPr>
        <w:t xml:space="preserve"> if left uncorrected</w:t>
      </w:r>
      <w:r w:rsidR="007A06C8" w:rsidRPr="00814236">
        <w:rPr>
          <w:rFonts w:cs="Times New Roman"/>
        </w:rPr>
        <w:t xml:space="preserve">. </w:t>
      </w:r>
      <w:r w:rsidR="005B7293" w:rsidRPr="00814236">
        <w:rPr>
          <w:rFonts w:cs="Times New Roman"/>
        </w:rPr>
        <w:t>Meanwhile, a</w:t>
      </w:r>
      <w:r w:rsidR="007A06C8" w:rsidRPr="00814236">
        <w:rPr>
          <w:rFonts w:cs="Times New Roman"/>
        </w:rPr>
        <w:t xml:space="preserve"> brownout is </w:t>
      </w:r>
      <w:r w:rsidR="009D1246" w:rsidRPr="00814236">
        <w:rPr>
          <w:rFonts w:cs="Times New Roman"/>
        </w:rPr>
        <w:t>when</w:t>
      </w:r>
      <w:r w:rsidR="007A06C8" w:rsidRPr="00814236">
        <w:rPr>
          <w:rFonts w:cs="Times New Roman"/>
        </w:rPr>
        <w:t xml:space="preserve"> the voltage drops</w:t>
      </w:r>
      <w:r w:rsidR="009D1246" w:rsidRPr="00814236">
        <w:rPr>
          <w:rFonts w:cs="Times New Roman"/>
        </w:rPr>
        <w:t xml:space="preserve"> enough to cause visible effects, </w:t>
      </w:r>
      <w:r w:rsidR="005B7293" w:rsidRPr="00814236">
        <w:rPr>
          <w:rFonts w:cs="Times New Roman"/>
        </w:rPr>
        <w:t xml:space="preserve">such as, for example, </w:t>
      </w:r>
      <w:r w:rsidR="007A06C8" w:rsidRPr="00814236">
        <w:rPr>
          <w:rFonts w:cs="Times New Roman"/>
        </w:rPr>
        <w:t xml:space="preserve">the dimming of </w:t>
      </w:r>
      <w:r w:rsidR="005B7293" w:rsidRPr="00814236">
        <w:rPr>
          <w:rFonts w:cs="Times New Roman"/>
        </w:rPr>
        <w:t>old-fashioned</w:t>
      </w:r>
      <w:r w:rsidR="007A06C8" w:rsidRPr="00814236">
        <w:rPr>
          <w:rFonts w:cs="Times New Roman"/>
        </w:rPr>
        <w:t xml:space="preserve"> lightbulbs. If the energy shortage is severe</w:t>
      </w:r>
      <w:r w:rsidR="00AF5F4B" w:rsidRPr="00814236">
        <w:rPr>
          <w:rFonts w:cs="Times New Roman"/>
        </w:rPr>
        <w:t>,</w:t>
      </w:r>
      <w:r w:rsidR="007A06C8" w:rsidRPr="00814236">
        <w:rPr>
          <w:rFonts w:cs="Times New Roman"/>
        </w:rPr>
        <w:t xml:space="preserve"> </w:t>
      </w:r>
      <w:r w:rsidR="009D1246" w:rsidRPr="00814236">
        <w:rPr>
          <w:rFonts w:cs="Times New Roman"/>
        </w:rPr>
        <w:t>a</w:t>
      </w:r>
      <w:r w:rsidR="007A06C8" w:rsidRPr="00814236">
        <w:rPr>
          <w:rFonts w:cs="Times New Roman"/>
        </w:rPr>
        <w:t xml:space="preserve"> brownout can become a</w:t>
      </w:r>
      <w:r w:rsidR="009B2D13" w:rsidRPr="00814236">
        <w:rPr>
          <w:rFonts w:cs="Times New Roman"/>
        </w:rPr>
        <w:t xml:space="preserve"> blackout</w:t>
      </w:r>
      <w:r w:rsidR="009D1246" w:rsidRPr="00814236">
        <w:rPr>
          <w:rFonts w:cs="Times New Roman"/>
        </w:rPr>
        <w:t>, which is when</w:t>
      </w:r>
      <w:r w:rsidR="007A06C8" w:rsidRPr="00814236">
        <w:rPr>
          <w:rFonts w:cs="Times New Roman"/>
        </w:rPr>
        <w:t xml:space="preserve"> the system shuts down and no power is transported</w:t>
      </w:r>
      <w:r w:rsidR="009D1246" w:rsidRPr="00814236">
        <w:rPr>
          <w:rFonts w:cs="Times New Roman"/>
        </w:rPr>
        <w:t xml:space="preserve"> at all.</w:t>
      </w:r>
      <w:r w:rsidR="007A06C8" w:rsidRPr="00814236">
        <w:rPr>
          <w:rFonts w:cs="Times New Roman"/>
        </w:rPr>
        <w:t xml:space="preserve"> </w:t>
      </w:r>
    </w:p>
    <w:p w14:paraId="04F6E693" w14:textId="6F781B72" w:rsidR="001C589E" w:rsidRPr="00814236" w:rsidRDefault="00185FFC" w:rsidP="00141F1C">
      <w:pPr>
        <w:rPr>
          <w:rFonts w:cs="Times New Roman"/>
        </w:rPr>
      </w:pPr>
      <w:r w:rsidRPr="00814236">
        <w:rPr>
          <w:rFonts w:cs="Times New Roman"/>
        </w:rPr>
        <w:t>Power</w:t>
      </w:r>
      <w:r w:rsidR="0089377E" w:rsidRPr="00814236">
        <w:rPr>
          <w:rFonts w:cs="Times New Roman"/>
        </w:rPr>
        <w:t xml:space="preserve"> im</w:t>
      </w:r>
      <w:r w:rsidR="0072669A" w:rsidRPr="00814236">
        <w:rPr>
          <w:rFonts w:cs="Times New Roman"/>
        </w:rPr>
        <w:t>balance</w:t>
      </w:r>
      <w:r w:rsidR="0089377E" w:rsidRPr="00814236">
        <w:rPr>
          <w:rFonts w:cs="Times New Roman"/>
        </w:rPr>
        <w:t>s</w:t>
      </w:r>
      <w:r w:rsidR="0072669A" w:rsidRPr="00814236">
        <w:rPr>
          <w:rFonts w:cs="Times New Roman"/>
        </w:rPr>
        <w:t xml:space="preserve"> </w:t>
      </w:r>
      <w:r w:rsidR="008213AC" w:rsidRPr="00814236">
        <w:rPr>
          <w:rFonts w:cs="Times New Roman"/>
        </w:rPr>
        <w:t>can also occur due to</w:t>
      </w:r>
      <w:r w:rsidR="00F3102B" w:rsidRPr="00814236">
        <w:rPr>
          <w:rFonts w:cs="Times New Roman"/>
        </w:rPr>
        <w:t xml:space="preserve"> </w:t>
      </w:r>
      <w:r w:rsidR="008213AC" w:rsidRPr="00814236">
        <w:rPr>
          <w:rFonts w:cs="Times New Roman"/>
        </w:rPr>
        <w:t xml:space="preserve">a </w:t>
      </w:r>
      <w:r w:rsidR="009B2D13" w:rsidRPr="00814236">
        <w:rPr>
          <w:rFonts w:cs="Times New Roman"/>
        </w:rPr>
        <w:t>sudden</w:t>
      </w:r>
      <w:r w:rsidR="00F3102B" w:rsidRPr="00814236">
        <w:rPr>
          <w:rFonts w:cs="Times New Roman"/>
        </w:rPr>
        <w:t xml:space="preserve"> peak or drop </w:t>
      </w:r>
      <w:r w:rsidR="0089377E" w:rsidRPr="00814236">
        <w:rPr>
          <w:rFonts w:cs="Times New Roman"/>
        </w:rPr>
        <w:t>in</w:t>
      </w:r>
      <w:r w:rsidR="00F3102B" w:rsidRPr="00814236">
        <w:rPr>
          <w:rFonts w:cs="Times New Roman"/>
        </w:rPr>
        <w:t xml:space="preserve"> energy production </w:t>
      </w:r>
      <w:r w:rsidR="0072669A" w:rsidRPr="00814236">
        <w:rPr>
          <w:rFonts w:cs="Times New Roman"/>
        </w:rPr>
        <w:t>(</w:t>
      </w:r>
      <w:r w:rsidR="0089377E" w:rsidRPr="00814236">
        <w:rPr>
          <w:rFonts w:cs="Times New Roman"/>
        </w:rPr>
        <w:t xml:space="preserve">e.g. due to </w:t>
      </w:r>
      <w:r w:rsidR="0072669A" w:rsidRPr="00814236">
        <w:rPr>
          <w:rFonts w:cs="Times New Roman"/>
        </w:rPr>
        <w:t xml:space="preserve">clouds blocking the sun, </w:t>
      </w:r>
      <w:r w:rsidR="0089377E" w:rsidRPr="00814236">
        <w:rPr>
          <w:rFonts w:cs="Times New Roman"/>
        </w:rPr>
        <w:t xml:space="preserve">a drop in the </w:t>
      </w:r>
      <w:r w:rsidR="0072669A" w:rsidRPr="00814236">
        <w:rPr>
          <w:rFonts w:cs="Times New Roman"/>
        </w:rPr>
        <w:t xml:space="preserve">wind, </w:t>
      </w:r>
      <w:r w:rsidR="0089377E" w:rsidRPr="00814236">
        <w:rPr>
          <w:rFonts w:cs="Times New Roman"/>
        </w:rPr>
        <w:t>etc.).</w:t>
      </w:r>
      <w:r w:rsidR="00F3102B" w:rsidRPr="00814236">
        <w:rPr>
          <w:rFonts w:cs="Times New Roman"/>
        </w:rPr>
        <w:t xml:space="preserve"> To keep supply and </w:t>
      </w:r>
      <w:r w:rsidR="00F3102B" w:rsidRPr="00814236">
        <w:rPr>
          <w:rFonts w:cs="Times New Roman"/>
        </w:rPr>
        <w:lastRenderedPageBreak/>
        <w:t>demand in equilibrium, balance responsible parties (BRP) or the transmission system operator</w:t>
      </w:r>
      <w:r w:rsidR="00446F0D" w:rsidRPr="00814236">
        <w:rPr>
          <w:rFonts w:cs="Times New Roman"/>
        </w:rPr>
        <w:t>s</w:t>
      </w:r>
      <w:r w:rsidR="00F3102B" w:rsidRPr="00814236">
        <w:rPr>
          <w:rFonts w:cs="Times New Roman"/>
        </w:rPr>
        <w:t xml:space="preserve"> </w:t>
      </w:r>
      <w:r w:rsidR="009D3F68" w:rsidRPr="00814236">
        <w:rPr>
          <w:rFonts w:cs="Times New Roman"/>
        </w:rPr>
        <w:t xml:space="preserve">(TSO) </w:t>
      </w:r>
      <w:r w:rsidR="00F3102B" w:rsidRPr="00814236">
        <w:rPr>
          <w:rFonts w:cs="Times New Roman"/>
        </w:rPr>
        <w:t xml:space="preserve">need to compensate </w:t>
      </w:r>
      <w:r w:rsidR="0089377E" w:rsidRPr="00814236">
        <w:rPr>
          <w:rFonts w:cs="Times New Roman"/>
        </w:rPr>
        <w:t xml:space="preserve">for </w:t>
      </w:r>
      <w:r w:rsidR="00F3102B" w:rsidRPr="00814236">
        <w:rPr>
          <w:rFonts w:cs="Times New Roman"/>
        </w:rPr>
        <w:t xml:space="preserve">this sudden drop or peak in </w:t>
      </w:r>
      <w:r w:rsidRPr="00814236">
        <w:rPr>
          <w:rFonts w:cs="Times New Roman"/>
        </w:rPr>
        <w:t xml:space="preserve">power </w:t>
      </w:r>
      <w:r w:rsidR="00890D34" w:rsidRPr="00814236">
        <w:rPr>
          <w:rFonts w:cs="Times New Roman"/>
        </w:rPr>
        <w:fldChar w:fldCharType="begin" w:fldLock="1"/>
      </w:r>
      <w:r w:rsidR="00D46911" w:rsidRPr="00814236">
        <w:rPr>
          <w:rFonts w:cs="Times New Roman"/>
        </w:rPr>
        <w:instrText>ADDIN CSL_CITATION {"citationItems":[{"id":"ITEM-1","itemData":{"DOI":"10.1016/j.apenergy.2013.11.064","abstract":"Interactive building power demand management strategy for integrating commercial buildings into smart grid. Quantify demand and demand alteration characteristics of commercial buildings to facilitate the smart grid optimization. Building thermal storage model is developed for predicting power demand alteration potential. Commercial buildings can contribute significantly and effectively in grid power demand management. a b s t r a c t With increasing use and integration of renewable energies, power imbalance between supply and demand sides has become one of the most critical issues in developing smart grid. As the major power consumers at demand side, buildings can actually perform as distributed thermal storages to help relieving power imbalance of a grid. However, power demand alteration potentials of buildings and energy information of grids might not be effectively predicted and communicated for interaction and optimization. This paper presents an interactive building power demand management strategy for the interaction of commercial buildings with a smart grid and facilitating the grid optimization. A simplified building thermal storage model is developed for predicting and characterizing power demand alteration potentials of individual buildings together with a model for predicting the normal power demand profiles of buildings. The simulation test results show that commercial buildings can contribute significantly and effectively in power demand management or alterations with building power demand characteristics identified properly.","author":[{"dropping-particle":"","family":"Xue","given":"Xue","non-dropping-particle":"","parse-names":false,"suffix":""},{"dropping-particle":"","family":"Wang","given":"Shengwei","non-dropping-particle":"","parse-names":false,"suffix":""},{"dropping-particle":"","family":"Sun","given":"Yongjun","non-dropping-particle":"","parse-names":false,"suffix":""},{"dropping-particle":"","family":"Xiao","given":"Fu","non-dropping-particle":"","parse-names":false,"suffix":""}],"id":"ITEM-1","issued":{"date-parts":[["2014"]]},"title":"An interactive building power demand management strategy for facilitating smart grid optimization","type":"article-journal"},"uris":["http://www.mendeley.com/documents/?uuid=fad62fe3-a19d-3145-829f-75af59eea317"]}],"mendeley":{"formattedCitation":"(Xue, Wang, Sun, &amp; Xiao, 2014)","plainTextFormattedCitation":"(Xue, Wang, Sun, &amp; Xiao, 2014)","previouslyFormattedCitation":"(Xue, Wang, Sun, &amp; Xiao, 2014)"},"properties":{"noteIndex":0},"schema":"https://github.com/citation-style-language/schema/raw/master/csl-citation.json"}</w:instrText>
      </w:r>
      <w:r w:rsidR="00890D34" w:rsidRPr="00814236">
        <w:rPr>
          <w:rFonts w:cs="Times New Roman"/>
        </w:rPr>
        <w:fldChar w:fldCharType="separate"/>
      </w:r>
      <w:r w:rsidR="002F3E14" w:rsidRPr="00814236">
        <w:rPr>
          <w:rFonts w:cs="Times New Roman"/>
          <w:noProof/>
        </w:rPr>
        <w:t>(Xue, Wang, Sun, &amp; Xiao, 2014)</w:t>
      </w:r>
      <w:r w:rsidR="00890D34" w:rsidRPr="00814236">
        <w:rPr>
          <w:rFonts w:cs="Times New Roman"/>
        </w:rPr>
        <w:fldChar w:fldCharType="end"/>
      </w:r>
      <w:r w:rsidR="00F3102B" w:rsidRPr="00814236">
        <w:rPr>
          <w:rFonts w:cs="Times New Roman"/>
        </w:rPr>
        <w:t xml:space="preserve">. This compensation can be </w:t>
      </w:r>
      <w:r w:rsidR="0089377E" w:rsidRPr="00814236">
        <w:rPr>
          <w:rFonts w:cs="Times New Roman"/>
        </w:rPr>
        <w:t xml:space="preserve">achieved </w:t>
      </w:r>
      <w:r w:rsidR="00F3102B" w:rsidRPr="00814236">
        <w:rPr>
          <w:rFonts w:cs="Times New Roman"/>
        </w:rPr>
        <w:t>on the</w:t>
      </w:r>
      <w:r w:rsidR="00F9179D" w:rsidRPr="00814236">
        <w:rPr>
          <w:rFonts w:cs="Times New Roman"/>
        </w:rPr>
        <w:t xml:space="preserve"> supply side by modulati</w:t>
      </w:r>
      <w:r w:rsidR="00446F0D" w:rsidRPr="00814236">
        <w:rPr>
          <w:rFonts w:cs="Times New Roman"/>
        </w:rPr>
        <w:t>ng</w:t>
      </w:r>
      <w:r w:rsidR="00F9179D" w:rsidRPr="00814236">
        <w:rPr>
          <w:rFonts w:cs="Times New Roman"/>
        </w:rPr>
        <w:t xml:space="preserve"> the </w:t>
      </w:r>
      <w:r w:rsidR="0089377E" w:rsidRPr="00814236">
        <w:rPr>
          <w:rFonts w:cs="Times New Roman"/>
        </w:rPr>
        <w:t xml:space="preserve">active </w:t>
      </w:r>
      <w:r w:rsidR="00F9179D" w:rsidRPr="00814236">
        <w:rPr>
          <w:rFonts w:cs="Times New Roman"/>
        </w:rPr>
        <w:t xml:space="preserve">production units. </w:t>
      </w:r>
      <w:r w:rsidRPr="00814236">
        <w:rPr>
          <w:rFonts w:cs="Times New Roman"/>
        </w:rPr>
        <w:t>However, f</w:t>
      </w:r>
      <w:r w:rsidR="00F83BF2" w:rsidRPr="00814236">
        <w:rPr>
          <w:rFonts w:cs="Times New Roman"/>
        </w:rPr>
        <w:t xml:space="preserve">or </w:t>
      </w:r>
      <w:r w:rsidR="00446F0D" w:rsidRPr="00814236">
        <w:rPr>
          <w:rFonts w:cs="Times New Roman"/>
        </w:rPr>
        <w:t xml:space="preserve">technological and </w:t>
      </w:r>
      <w:r w:rsidR="00F83BF2" w:rsidRPr="00814236">
        <w:rPr>
          <w:rFonts w:cs="Times New Roman"/>
        </w:rPr>
        <w:t>economic reasons, classical power generation</w:t>
      </w:r>
      <w:r w:rsidR="00190CEE" w:rsidRPr="00814236">
        <w:rPr>
          <w:rFonts w:cs="Times New Roman"/>
        </w:rPr>
        <w:t xml:space="preserve"> (nuclear or fossil fuel based)</w:t>
      </w:r>
      <w:r w:rsidR="00F83BF2" w:rsidRPr="00814236">
        <w:rPr>
          <w:rFonts w:cs="Times New Roman"/>
        </w:rPr>
        <w:t xml:space="preserve"> has</w:t>
      </w:r>
      <w:r w:rsidR="005501FC" w:rsidRPr="00814236">
        <w:rPr>
          <w:rFonts w:cs="Times New Roman"/>
        </w:rPr>
        <w:t xml:space="preserve"> limited and slow steering possibilities</w:t>
      </w:r>
      <w:r w:rsidR="00F83BF2" w:rsidRPr="00814236">
        <w:rPr>
          <w:rFonts w:cs="Times New Roman"/>
        </w:rPr>
        <w:t xml:space="preserve">. </w:t>
      </w:r>
      <w:r w:rsidR="00190CEE" w:rsidRPr="00814236">
        <w:rPr>
          <w:rFonts w:cs="Times New Roman"/>
        </w:rPr>
        <w:t>The implementation of m</w:t>
      </w:r>
      <w:r w:rsidR="00F83BF2" w:rsidRPr="00814236">
        <w:rPr>
          <w:rFonts w:cs="Times New Roman"/>
        </w:rPr>
        <w:t>ore flexible and fas</w:t>
      </w:r>
      <w:r w:rsidR="00190CEE" w:rsidRPr="00814236">
        <w:rPr>
          <w:rFonts w:cs="Times New Roman"/>
        </w:rPr>
        <w:t>t</w:t>
      </w:r>
      <w:r w:rsidR="00A9592B" w:rsidRPr="00814236">
        <w:rPr>
          <w:rFonts w:cs="Times New Roman"/>
        </w:rPr>
        <w:t>er</w:t>
      </w:r>
      <w:r w:rsidR="00F83BF2" w:rsidRPr="00814236">
        <w:rPr>
          <w:rFonts w:cs="Times New Roman"/>
        </w:rPr>
        <w:t xml:space="preserve"> </w:t>
      </w:r>
      <w:r w:rsidR="00190CEE" w:rsidRPr="00814236">
        <w:rPr>
          <w:rFonts w:cs="Times New Roman"/>
        </w:rPr>
        <w:t xml:space="preserve">fossil </w:t>
      </w:r>
      <w:r w:rsidR="00F151A3" w:rsidRPr="00814236">
        <w:rPr>
          <w:rFonts w:cs="Times New Roman"/>
        </w:rPr>
        <w:t>fuel-based</w:t>
      </w:r>
      <w:r w:rsidR="00190CEE" w:rsidRPr="00814236">
        <w:rPr>
          <w:rFonts w:cs="Times New Roman"/>
        </w:rPr>
        <w:t xml:space="preserve"> </w:t>
      </w:r>
      <w:r w:rsidR="00F83BF2" w:rsidRPr="00814236">
        <w:rPr>
          <w:rFonts w:cs="Times New Roman"/>
        </w:rPr>
        <w:t xml:space="preserve">generation units </w:t>
      </w:r>
      <w:r w:rsidR="00190CEE" w:rsidRPr="00814236">
        <w:rPr>
          <w:rFonts w:cs="Times New Roman"/>
        </w:rPr>
        <w:t>will involve higher</w:t>
      </w:r>
      <w:r w:rsidR="00F83BF2" w:rsidRPr="00814236">
        <w:rPr>
          <w:rFonts w:cs="Times New Roman"/>
        </w:rPr>
        <w:t xml:space="preserve"> economic cost</w:t>
      </w:r>
      <w:r w:rsidR="005B7293" w:rsidRPr="00814236">
        <w:rPr>
          <w:rFonts w:cs="Times New Roman"/>
        </w:rPr>
        <w:t>s</w:t>
      </w:r>
      <w:r w:rsidR="0033499D" w:rsidRPr="00814236">
        <w:rPr>
          <w:rFonts w:cs="Times New Roman"/>
        </w:rPr>
        <w:t xml:space="preserve"> and </w:t>
      </w:r>
      <w:r w:rsidR="005B7293" w:rsidRPr="00814236">
        <w:rPr>
          <w:rFonts w:cs="Times New Roman"/>
        </w:rPr>
        <w:t xml:space="preserve">increase the </w:t>
      </w:r>
      <w:r w:rsidR="0033499D" w:rsidRPr="00814236">
        <w:rPr>
          <w:rFonts w:cs="Times New Roman"/>
        </w:rPr>
        <w:t>environmental impact</w:t>
      </w:r>
      <w:r w:rsidR="00F83BF2" w:rsidRPr="00814236">
        <w:rPr>
          <w:rFonts w:cs="Times New Roman"/>
        </w:rPr>
        <w:t xml:space="preserve"> associated with their use.</w:t>
      </w:r>
      <w:r w:rsidR="005501FC" w:rsidRPr="00814236">
        <w:rPr>
          <w:rFonts w:cs="Times New Roman"/>
        </w:rPr>
        <w:t xml:space="preserve"> </w:t>
      </w:r>
      <w:r w:rsidR="00A9592B" w:rsidRPr="00814236">
        <w:rPr>
          <w:rFonts w:cs="Times New Roman"/>
        </w:rPr>
        <w:t>Due to</w:t>
      </w:r>
      <w:r w:rsidR="0033499D" w:rsidRPr="00814236">
        <w:rPr>
          <w:rFonts w:cs="Times New Roman"/>
        </w:rPr>
        <w:t xml:space="preserve"> the rigid supply side, </w:t>
      </w:r>
      <w:r w:rsidR="005501FC" w:rsidRPr="00814236">
        <w:rPr>
          <w:rFonts w:cs="Times New Roman"/>
        </w:rPr>
        <w:t xml:space="preserve">a paradigm shift towards </w:t>
      </w:r>
      <w:r w:rsidR="00A9592B" w:rsidRPr="00814236">
        <w:rPr>
          <w:rFonts w:cs="Times New Roman"/>
        </w:rPr>
        <w:t>d</w:t>
      </w:r>
      <w:r w:rsidR="005501FC" w:rsidRPr="00814236">
        <w:rPr>
          <w:rFonts w:cs="Times New Roman"/>
        </w:rPr>
        <w:t xml:space="preserve">emand </w:t>
      </w:r>
      <w:r w:rsidR="00A9592B" w:rsidRPr="00814236">
        <w:rPr>
          <w:rFonts w:cs="Times New Roman"/>
        </w:rPr>
        <w:t>r</w:t>
      </w:r>
      <w:r w:rsidR="00A503C3" w:rsidRPr="00814236">
        <w:rPr>
          <w:rFonts w:cs="Times New Roman"/>
        </w:rPr>
        <w:t>esponse</w:t>
      </w:r>
      <w:r w:rsidR="005501FC" w:rsidRPr="00814236">
        <w:rPr>
          <w:rFonts w:cs="Times New Roman"/>
        </w:rPr>
        <w:t xml:space="preserve"> (D</w:t>
      </w:r>
      <w:r w:rsidR="00A503C3" w:rsidRPr="00814236">
        <w:rPr>
          <w:rFonts w:cs="Times New Roman"/>
        </w:rPr>
        <w:t>R</w:t>
      </w:r>
      <w:r w:rsidR="005501FC" w:rsidRPr="00814236">
        <w:rPr>
          <w:rFonts w:cs="Times New Roman"/>
        </w:rPr>
        <w:t xml:space="preserve">) </w:t>
      </w:r>
      <w:r w:rsidR="00A9592B" w:rsidRPr="00814236">
        <w:rPr>
          <w:rFonts w:cs="Times New Roman"/>
        </w:rPr>
        <w:t>has been</w:t>
      </w:r>
      <w:r w:rsidR="005501FC" w:rsidRPr="00814236">
        <w:rPr>
          <w:rFonts w:cs="Times New Roman"/>
        </w:rPr>
        <w:t xml:space="preserve"> introduced</w:t>
      </w:r>
      <w:r w:rsidR="00A9592B" w:rsidRPr="00814236">
        <w:rPr>
          <w:rFonts w:cs="Times New Roman"/>
        </w:rPr>
        <w:t xml:space="preserve">, the </w:t>
      </w:r>
      <w:r w:rsidR="005501FC" w:rsidRPr="00814236">
        <w:rPr>
          <w:rFonts w:cs="Times New Roman"/>
        </w:rPr>
        <w:t xml:space="preserve">idea of </w:t>
      </w:r>
      <w:r w:rsidR="00A9592B" w:rsidRPr="00814236">
        <w:rPr>
          <w:rFonts w:cs="Times New Roman"/>
        </w:rPr>
        <w:t xml:space="preserve">which </w:t>
      </w:r>
      <w:r w:rsidR="005501FC" w:rsidRPr="00814236">
        <w:rPr>
          <w:rFonts w:cs="Times New Roman"/>
        </w:rPr>
        <w:t xml:space="preserve">is to change the </w:t>
      </w:r>
      <w:r w:rsidRPr="00814236">
        <w:rPr>
          <w:rFonts w:cs="Times New Roman"/>
        </w:rPr>
        <w:t xml:space="preserve">power </w:t>
      </w:r>
      <w:r w:rsidR="005501FC" w:rsidRPr="00814236">
        <w:rPr>
          <w:rFonts w:cs="Times New Roman"/>
        </w:rPr>
        <w:t>consumption profile of different consumers</w:t>
      </w:r>
      <w:r w:rsidR="005B7293" w:rsidRPr="00814236">
        <w:rPr>
          <w:rFonts w:cs="Times New Roman"/>
        </w:rPr>
        <w:t>,</w:t>
      </w:r>
      <w:r w:rsidR="004F2006" w:rsidRPr="00814236">
        <w:rPr>
          <w:rFonts w:cs="Times New Roman"/>
        </w:rPr>
        <w:t xml:space="preserve"> and as such</w:t>
      </w:r>
      <w:r w:rsidR="005B7293" w:rsidRPr="00814236">
        <w:rPr>
          <w:rFonts w:cs="Times New Roman"/>
        </w:rPr>
        <w:t>,</w:t>
      </w:r>
      <w:r w:rsidR="004F2006" w:rsidRPr="00814236">
        <w:rPr>
          <w:rFonts w:cs="Times New Roman"/>
        </w:rPr>
        <w:t xml:space="preserve"> </w:t>
      </w:r>
      <w:r w:rsidR="00F910D1">
        <w:rPr>
          <w:rFonts w:cs="Times New Roman"/>
        </w:rPr>
        <w:t xml:space="preserve">to </w:t>
      </w:r>
      <w:r w:rsidR="004F2006" w:rsidRPr="00814236">
        <w:rPr>
          <w:rFonts w:cs="Times New Roman"/>
        </w:rPr>
        <w:t xml:space="preserve">compensate </w:t>
      </w:r>
      <w:r w:rsidR="005B7293" w:rsidRPr="00814236">
        <w:rPr>
          <w:rFonts w:cs="Times New Roman"/>
        </w:rPr>
        <w:t xml:space="preserve">for </w:t>
      </w:r>
      <w:r w:rsidR="004F2006" w:rsidRPr="00814236">
        <w:rPr>
          <w:rFonts w:cs="Times New Roman"/>
        </w:rPr>
        <w:t>the imbalance of the grid. One of these consumers are the</w:t>
      </w:r>
      <w:r w:rsidR="003B0C05" w:rsidRPr="00814236">
        <w:rPr>
          <w:rFonts w:cs="Times New Roman"/>
        </w:rPr>
        <w:t xml:space="preserve"> HVAC</w:t>
      </w:r>
      <w:r w:rsidR="004F2006" w:rsidRPr="00814236">
        <w:rPr>
          <w:rFonts w:cs="Times New Roman"/>
        </w:rPr>
        <w:t xml:space="preserve"> </w:t>
      </w:r>
      <w:r w:rsidR="003B0C05" w:rsidRPr="00814236">
        <w:rPr>
          <w:rFonts w:cs="Times New Roman"/>
        </w:rPr>
        <w:t>system</w:t>
      </w:r>
      <w:r w:rsidR="004F2006" w:rsidRPr="00814236">
        <w:rPr>
          <w:rFonts w:cs="Times New Roman"/>
        </w:rPr>
        <w:t>s</w:t>
      </w:r>
      <w:r w:rsidR="00190CEE" w:rsidRPr="00814236">
        <w:rPr>
          <w:rFonts w:cs="Times New Roman"/>
        </w:rPr>
        <w:t xml:space="preserve"> in a building</w:t>
      </w:r>
      <w:r w:rsidR="00EF2005" w:rsidRPr="00814236">
        <w:rPr>
          <w:rFonts w:cs="Times New Roman"/>
        </w:rPr>
        <w:t xml:space="preserve"> </w:t>
      </w:r>
      <w:r w:rsidR="00EF2005" w:rsidRPr="00814236">
        <w:rPr>
          <w:rFonts w:cs="Times New Roman"/>
        </w:rPr>
        <w:fldChar w:fldCharType="begin" w:fldLock="1"/>
      </w:r>
      <w:r w:rsidR="00D46911" w:rsidRPr="00814236">
        <w:rPr>
          <w:rFonts w:cs="Times New Roman"/>
        </w:rPr>
        <w:instrText>ADDIN CSL_CITATION {"citationItems":[{"id":"ITEM-1","itemData":{"DOI":"10.1016/j.ces.2011.07.052","abstract":"This paper proposes and demonstrates the effectiveness of an economic model predictive control (MPC) technique in reducing energy and demand costs for building heating, ventilating, and air conditioning (HVAC) systems. A simulated multi-zone commercial building equipped with of variable air volume (VAV) cooling system is built in Energyplus. With the introduced Building Controls Virtual Test Bed (BCVTB) as middleware, real-time data exchange between Energyplus and a Matlab controller is realized by sending and receiving sockets. System identification is performed to obtain zone temperature and power models, which are used in the MPC framework. The economic objective function in MPC accounts for the daily electricity costs, which include time-of-use (TOU) energy charge and demand charge. In each time step, a min-max optimization is formulated and converted into a linear programming problem and solved. In a weekly simulation, a pre-cooling effect during off-peak period and a cooling discharge from the building thermal mass during on-peak period can be observed. Cost savings by MPC are estimated by comparing with the baseline and other open-loop control strategies. The effect of several experimental factors in the MPC configuration is investigated and the best scenario is selected for future practical tests.","author":[{"dropping-particle":"","family":"Ma","given":"Jingran","non-dropping-particle":"","parse-names":false,"suffix":""},{"dropping-particle":"","family":"Qin","given":"Joe","non-dropping-particle":"","parse-names":false,"suffix":""},{"dropping-particle":"","family":"Salsbury","given":"Timothy","non-dropping-particle":"","parse-names":false,"suffix":""},{"dropping-particle":"","family":"Xu","given":"Peng","non-dropping-particle":"","parse-names":false,"suffix":""}],"id":"ITEM-1","issued":{"date-parts":[["2011"]]},"title":"Demand reduction in building energy systems based on economic model predictive control","type":"article-journal"},"uris":["http://www.mendeley.com/documents/?uuid=70bce8de-c5aa-3b40-8e74-4f050dc1ad24","http://www.mendeley.com/documents/?uuid=ef47bd8e-0fa4-4b0a-9d46-4b0e0d3dccc0"]},{"id":"ITEM-2","itemData":{"DOI":"10.1016/j.jprocont.2014.06.011","abstract":"This paper presents an application case study of an economic model predictive control (EMPC) method for optimizing the building demand and energy cost under the time-of-use price policy. The control strategy is comprised of an economic objective function that accounts for the combination of energy and demand costs with a time-of-use rate structure, a dynamic thermal process and power model of the building thermal mass dynamics, and a set of constraints to ensure the building is operated properly. The optimization is a min-max optimization problem and is converted to a linear program. The EMPC method is implemented in a commercial office building located in Milwaukee, Wisconsin, USA. An internet-based control architecture is developed to carry out tests with the EMPC controller at a remote location. The test results show that the EMPC strategy is capable of shifting the peak demand to off-peak hours and reducing energy costs compared to a baseline case for the building.","author":[{"dropping-particle":"","family":"Ma","given":"Jingran","non-dropping-particle":"","parse-names":false,"suffix":""},{"dropping-particle":"","family":"Qin","given":"S Joe","non-dropping-particle":"","parse-names":false,"suffix":""},{"dropping-particle":"","family":"Salsbury","given":"Timothy","non-dropping-particle":"","parse-names":false,"suffix":""}],"container-title":"Journal of Process Control","id":"ITEM-2","issued":{"date-parts":[["2014"]]},"page":"1282-1291","title":"Application of economic MPC to the energy and demand minimization of a commercial building","type":"article-journal","volume":"24"},"uris":["http://www.mendeley.com/documents/?uuid=417639d3-fb33-3cbd-9eab-16f52be3b155","http://www.mendeley.com/documents/?uuid=8aca0086-9649-40e1-92c1-1d5e1833d4ed"]},{"id":"ITEM-3","itemData":{"DOI":"10.1016/j.buildenv.2013.11.016","abstract":"This work presents a literature review of control methods, with an emphasis on the theory and applications of model predictive control (MPC) for heating, ventilation, and air conditioning (HVAC) systems. Several control methods used for HVAC control are identified from the literature review, and a brief survey of each method is presented. Next, the performance of MPC is compared with that of other control approaches. Factors affecting MPC performance (including control configuration, process type, model, optimization technique, prediction horizon, control horizon, constraints, and cost function) are elaborated using specific examples from the literature. The gaps in MPC research are identified, and future directions are highlighted.","author":[{"dropping-particle":"","family":"Afram","given":"Abdul","non-dropping-particle":"","parse-names":false,"suffix":""},{"dropping-particle":"","family":"Janabi-Sharifi","given":"Farrokh","non-dropping-particle":"","parse-names":false,"suffix":""}],"id":"ITEM-3","issued":{"date-parts":[["2014"]]},"title":"Theory and applications of HVAC control systems e A review of model predictive control (MPC)","type":"article-journal"},"uris":["http://www.mendeley.com/documents/?uuid=47fafd5c-aaa0-3f92-a83f-d611a3b90f80","http://www.mendeley.com/documents/?uuid=154fc295-2ba6-4abf-9b90-40aecbeb43d6"]}],"mendeley":{"formattedCitation":"(Afram &amp; Janabi-Sharifi, 2014; Ma, Qin, Salsbury, &amp; Xu, 2011; Ma, Qin, &amp; Salsbury, 2014)","plainTextFormattedCitation":"(Afram &amp; Janabi-Sharifi, 2014; Ma, Qin, Salsbury, &amp; Xu, 2011; Ma, Qin, &amp; Salsbury, 2014)","previouslyFormattedCitation":"(Afram &amp; Janabi-Sharifi, 2014; Ma, Qin, Salsbury, &amp; Xu, 2011; Ma, Qin, &amp; Salsbury, 2014)"},"properties":{"noteIndex":0},"schema":"https://github.com/citation-style-language/schema/raw/master/csl-citation.json"}</w:instrText>
      </w:r>
      <w:r w:rsidR="00EF2005" w:rsidRPr="00814236">
        <w:rPr>
          <w:rFonts w:cs="Times New Roman"/>
        </w:rPr>
        <w:fldChar w:fldCharType="separate"/>
      </w:r>
      <w:r w:rsidR="002F3E14" w:rsidRPr="00814236">
        <w:rPr>
          <w:rFonts w:cs="Times New Roman"/>
          <w:noProof/>
        </w:rPr>
        <w:t>(Afram &amp; Janabi-Sharifi, 2014; Ma, Qin, Salsbury, &amp; Xu, 2011; Ma, Qin, &amp; Salsbury, 2014)</w:t>
      </w:r>
      <w:r w:rsidR="00EF2005" w:rsidRPr="00814236">
        <w:rPr>
          <w:rFonts w:cs="Times New Roman"/>
        </w:rPr>
        <w:fldChar w:fldCharType="end"/>
      </w:r>
      <w:r w:rsidR="004F2006" w:rsidRPr="00814236">
        <w:rPr>
          <w:rFonts w:cs="Times New Roman"/>
        </w:rPr>
        <w:t>.</w:t>
      </w:r>
    </w:p>
    <w:p w14:paraId="182CEF0F" w14:textId="5D60F6AF" w:rsidR="001C589E" w:rsidRPr="00814236" w:rsidRDefault="00104773" w:rsidP="00141F1C">
      <w:pPr>
        <w:rPr>
          <w:rFonts w:cs="Times New Roman"/>
        </w:rPr>
      </w:pPr>
      <w:r w:rsidRPr="00814236">
        <w:rPr>
          <w:rFonts w:cs="Times New Roman"/>
        </w:rPr>
        <w:t>T</w:t>
      </w:r>
      <w:r w:rsidR="009D2BFF" w:rsidRPr="00814236">
        <w:rPr>
          <w:rFonts w:cs="Times New Roman"/>
        </w:rPr>
        <w:t>he ad</w:t>
      </w:r>
      <w:r w:rsidRPr="00814236">
        <w:rPr>
          <w:rFonts w:cs="Times New Roman"/>
        </w:rPr>
        <w:t>o</w:t>
      </w:r>
      <w:r w:rsidR="009D2BFF" w:rsidRPr="00814236">
        <w:rPr>
          <w:rFonts w:cs="Times New Roman"/>
        </w:rPr>
        <w:t xml:space="preserve">ption of the HVAC system with a response to the grid’s demand is mostly realised with a form of advanced control </w:t>
      </w:r>
      <w:r w:rsidR="005B7293" w:rsidRPr="00814236">
        <w:rPr>
          <w:rFonts w:cs="Times New Roman"/>
        </w:rPr>
        <w:t>of</w:t>
      </w:r>
      <w:r w:rsidR="009D2BFF" w:rsidRPr="00814236">
        <w:rPr>
          <w:rFonts w:cs="Times New Roman"/>
        </w:rPr>
        <w:t xml:space="preserve"> the system</w:t>
      </w:r>
      <w:r w:rsidRPr="00814236">
        <w:rPr>
          <w:rFonts w:cs="Times New Roman"/>
        </w:rPr>
        <w:t xml:space="preserve"> </w:t>
      </w:r>
      <w:r w:rsidR="00EF2005" w:rsidRPr="00814236">
        <w:rPr>
          <w:rFonts w:cs="Times New Roman"/>
        </w:rPr>
        <w:fldChar w:fldCharType="begin" w:fldLock="1"/>
      </w:r>
      <w:r w:rsidR="00D46911" w:rsidRPr="00814236">
        <w:rPr>
          <w:rFonts w:cs="Times New Roman"/>
        </w:rPr>
        <w:instrText>ADDIN CSL_CITATION {"citationItems":[{"id":"ITEM-1","itemData":{"DOI":"10.1016/j.jprocont.2014.03.010","abstract":"An overview of the recent results on economic model predictive control (EMPC) is presented and discussed addressing both closed-loop stability and performance for nonlinear systems. A chemical process example is used to provide a demonstration of a few of the various approaches. The paper concludes with a brief discussion of the current status of EMPC and future research directions to promote and stimulate further research potential in this area.","author":[{"dropping-particle":"","family":"Ellis","given":"Matthew","non-dropping-particle":"","parse-names":false,"suffix":""},{"dropping-particle":"","family":"Durand","given":"Helen","non-dropping-particle":"","parse-names":false,"suffix":""},{"dropping-particle":"","family":"Christofides","given":"Panagiotis D","non-dropping-particle":"","parse-names":false,"suffix":""}],"container-title":"Journal of Process Control","id":"ITEM-1","issued":{"date-parts":[["2014"]]},"page":"1156-1178","title":"A tutorial review of economic model predictive control methods","type":"article-journal","volume":"24"},"uris":["http://www.mendeley.com/documents/?uuid=a1cce4bb-4a4a-3d38-a3ed-c55fa8a50d72","http://www.mendeley.com/documents/?uuid=cafa7109-dd35-42b8-ad1e-0f265de0f3b3"]},{"id":"ITEM-2","itemData":{"DOI":"10.1016/j.buildenv.2013.11.016","abstract":"This work presents a literature review of control methods, with an emphasis on the theory and applications of model predictive control (MPC) for heating, ventilation, and air conditioning (HVAC) systems. Several control methods used for HVAC control are identified from the literature review, and a brief survey of each method is presented. Next, the performance of MPC is compared with that of other control approaches. Factors affecting MPC performance (including control configuration, process type, model, optimization technique, prediction horizon, control horizon, constraints, and cost function) are elaborated using specific examples from the literature. The gaps in MPC research are identified, and future directions are highlighted.","author":[{"dropping-particle":"","family":"Afram","given":"Abdul","non-dropping-particle":"","parse-names":false,"suffix":""},{"dropping-particle":"","family":"Janabi-Sharifi","given":"Farrokh","non-dropping-particle":"","parse-names":false,"suffix":""}],"id":"ITEM-2","issued":{"date-parts":[["2014"]]},"title":"Theory and applications of HVAC control systems e A review of model predictive control (MPC)","type":"article-journal"},"uris":["http://www.mendeley.com/documents/?uuid=154fc295-2ba6-4abf-9b90-40aecbeb43d6","http://www.mendeley.com/documents/?uuid=726bd096-40a6-315b-9a6a-9d689c7ccd0c"]}],"mendeley":{"formattedCitation":"(Afram &amp; Janabi-Sharifi, 2014; Ellis, Durand, &amp; Christofides, 2014)","plainTextFormattedCitation":"(Afram &amp; Janabi-Sharifi, 2014; Ellis, Durand, &amp; Christofides, 2014)","previouslyFormattedCitation":"(Afram &amp; Janabi-Sharifi, 2014; Ellis, Durand, &amp; Christofides, 2014)"},"properties":{"noteIndex":0},"schema":"https://github.com/citation-style-language/schema/raw/master/csl-citation.json"}</w:instrText>
      </w:r>
      <w:r w:rsidR="00EF2005" w:rsidRPr="00814236">
        <w:rPr>
          <w:rFonts w:cs="Times New Roman"/>
        </w:rPr>
        <w:fldChar w:fldCharType="separate"/>
      </w:r>
      <w:r w:rsidR="002F3E14" w:rsidRPr="00814236">
        <w:rPr>
          <w:rFonts w:cs="Times New Roman"/>
          <w:noProof/>
        </w:rPr>
        <w:t>(Afram &amp; Janabi-Sharifi, 2014; Ellis, Durand, &amp; Christofides, 2014)</w:t>
      </w:r>
      <w:r w:rsidR="00EF2005" w:rsidRPr="00814236">
        <w:rPr>
          <w:rFonts w:cs="Times New Roman"/>
        </w:rPr>
        <w:fldChar w:fldCharType="end"/>
      </w:r>
      <w:r w:rsidR="009D2BFF" w:rsidRPr="00814236">
        <w:rPr>
          <w:rFonts w:cs="Times New Roman"/>
        </w:rPr>
        <w:t>.</w:t>
      </w:r>
      <w:r w:rsidR="009D2BFF" w:rsidRPr="00814236">
        <w:rPr>
          <w:rFonts w:cs="Times New Roman"/>
          <w:i/>
        </w:rPr>
        <w:t xml:space="preserve"> </w:t>
      </w:r>
      <w:r w:rsidR="00042280" w:rsidRPr="00814236">
        <w:rPr>
          <w:rFonts w:cs="Times New Roman"/>
        </w:rPr>
        <w:t>The s</w:t>
      </w:r>
      <w:r w:rsidR="00C51909" w:rsidRPr="00814236">
        <w:rPr>
          <w:rFonts w:cs="Times New Roman"/>
        </w:rPr>
        <w:t xml:space="preserve">tudies </w:t>
      </w:r>
      <w:r w:rsidR="004E116D" w:rsidRPr="00814236">
        <w:rPr>
          <w:rFonts w:cs="Times New Roman"/>
        </w:rPr>
        <w:t xml:space="preserve">from </w:t>
      </w:r>
      <w:proofErr w:type="spellStart"/>
      <w:r w:rsidR="004E116D" w:rsidRPr="00814236">
        <w:rPr>
          <w:rFonts w:cs="Times New Roman"/>
        </w:rPr>
        <w:t>Afram</w:t>
      </w:r>
      <w:proofErr w:type="spellEnd"/>
      <w:r w:rsidR="004E116D" w:rsidRPr="00814236">
        <w:rPr>
          <w:rFonts w:cs="Times New Roman"/>
        </w:rPr>
        <w:t xml:space="preserve"> and </w:t>
      </w:r>
      <w:proofErr w:type="spellStart"/>
      <w:r w:rsidR="004E116D" w:rsidRPr="00814236">
        <w:rPr>
          <w:rFonts w:cs="Times New Roman"/>
        </w:rPr>
        <w:t>Janabi-Sharifi</w:t>
      </w:r>
      <w:proofErr w:type="spellEnd"/>
      <w:r w:rsidR="004E116D" w:rsidRPr="00814236">
        <w:rPr>
          <w:rFonts w:cs="Times New Roman"/>
        </w:rPr>
        <w:t xml:space="preserve">, (2014) and Ellis, Durand and </w:t>
      </w:r>
      <w:proofErr w:type="spellStart"/>
      <w:r w:rsidR="004E116D" w:rsidRPr="00814236">
        <w:rPr>
          <w:rFonts w:cs="Times New Roman"/>
        </w:rPr>
        <w:t>Christofides</w:t>
      </w:r>
      <w:proofErr w:type="spellEnd"/>
      <w:r w:rsidR="004E116D" w:rsidRPr="00814236">
        <w:rPr>
          <w:rFonts w:cs="Times New Roman"/>
        </w:rPr>
        <w:t xml:space="preserve"> (2014) </w:t>
      </w:r>
      <w:r w:rsidR="00C51909" w:rsidRPr="00814236">
        <w:rPr>
          <w:rFonts w:cs="Times New Roman"/>
        </w:rPr>
        <w:t>have shown</w:t>
      </w:r>
      <w:r w:rsidR="00764C1C" w:rsidRPr="00814236">
        <w:rPr>
          <w:rFonts w:cs="Times New Roman"/>
        </w:rPr>
        <w:t xml:space="preserve"> that </w:t>
      </w:r>
      <w:r w:rsidR="004E32E4" w:rsidRPr="00814236">
        <w:rPr>
          <w:rFonts w:cs="Times New Roman"/>
        </w:rPr>
        <w:t>m</w:t>
      </w:r>
      <w:r w:rsidRPr="00814236">
        <w:rPr>
          <w:rFonts w:cs="Times New Roman"/>
        </w:rPr>
        <w:t xml:space="preserve">odel </w:t>
      </w:r>
      <w:r w:rsidR="004E32E4" w:rsidRPr="00814236">
        <w:rPr>
          <w:rFonts w:cs="Times New Roman"/>
        </w:rPr>
        <w:t>p</w:t>
      </w:r>
      <w:r w:rsidRPr="00814236">
        <w:rPr>
          <w:rFonts w:cs="Times New Roman"/>
        </w:rPr>
        <w:t xml:space="preserve">redictive </w:t>
      </w:r>
      <w:r w:rsidR="004E32E4" w:rsidRPr="00814236">
        <w:rPr>
          <w:rFonts w:cs="Times New Roman"/>
        </w:rPr>
        <w:t>c</w:t>
      </w:r>
      <w:r w:rsidRPr="00814236">
        <w:rPr>
          <w:rFonts w:cs="Times New Roman"/>
        </w:rPr>
        <w:t>ontrol</w:t>
      </w:r>
      <w:r w:rsidR="00BE1A01" w:rsidRPr="00814236">
        <w:rPr>
          <w:rFonts w:cs="Times New Roman"/>
        </w:rPr>
        <w:t xml:space="preserve"> (MPC</w:t>
      </w:r>
      <w:r w:rsidRPr="00814236">
        <w:rPr>
          <w:rFonts w:cs="Times New Roman"/>
        </w:rPr>
        <w:t>)</w:t>
      </w:r>
      <w:r w:rsidR="00764C1C" w:rsidRPr="00814236">
        <w:rPr>
          <w:rFonts w:cs="Times New Roman"/>
        </w:rPr>
        <w:t xml:space="preserve"> is applicable to different HVAC systems </w:t>
      </w:r>
      <w:r w:rsidR="004E116D" w:rsidRPr="00814236">
        <w:rPr>
          <w:rFonts w:cs="Times New Roman"/>
        </w:rPr>
        <w:t xml:space="preserve">in terms of </w:t>
      </w:r>
      <w:r w:rsidR="00C51909" w:rsidRPr="00814236">
        <w:rPr>
          <w:rFonts w:cs="Times New Roman"/>
        </w:rPr>
        <w:t>minimi</w:t>
      </w:r>
      <w:r w:rsidR="004E32E4" w:rsidRPr="00814236">
        <w:rPr>
          <w:rFonts w:cs="Times New Roman"/>
        </w:rPr>
        <w:t>s</w:t>
      </w:r>
      <w:r w:rsidR="004E116D" w:rsidRPr="00814236">
        <w:rPr>
          <w:rFonts w:cs="Times New Roman"/>
        </w:rPr>
        <w:t>ing</w:t>
      </w:r>
      <w:r w:rsidR="00C51909" w:rsidRPr="00814236">
        <w:rPr>
          <w:rFonts w:cs="Times New Roman"/>
        </w:rPr>
        <w:t xml:space="preserve"> the</w:t>
      </w:r>
      <w:r w:rsidR="00764C1C" w:rsidRPr="00814236">
        <w:rPr>
          <w:rFonts w:cs="Times New Roman"/>
        </w:rPr>
        <w:t xml:space="preserve"> energy </w:t>
      </w:r>
      <w:r w:rsidR="006C05ED" w:rsidRPr="00814236">
        <w:rPr>
          <w:rFonts w:cs="Times New Roman"/>
        </w:rPr>
        <w:t xml:space="preserve">consumption </w:t>
      </w:r>
      <w:r w:rsidR="00B6647F" w:rsidRPr="00814236">
        <w:rPr>
          <w:rFonts w:cs="Times New Roman"/>
        </w:rPr>
        <w:t>and/</w:t>
      </w:r>
      <w:r w:rsidR="00764C1C" w:rsidRPr="00814236">
        <w:rPr>
          <w:rFonts w:cs="Times New Roman"/>
        </w:rPr>
        <w:t xml:space="preserve">or </w:t>
      </w:r>
      <w:r w:rsidR="00C51909" w:rsidRPr="00814236">
        <w:rPr>
          <w:rFonts w:cs="Times New Roman"/>
        </w:rPr>
        <w:t>maximi</w:t>
      </w:r>
      <w:r w:rsidR="004E32E4" w:rsidRPr="00814236">
        <w:rPr>
          <w:rFonts w:cs="Times New Roman"/>
        </w:rPr>
        <w:t>s</w:t>
      </w:r>
      <w:r w:rsidR="004E116D" w:rsidRPr="00814236">
        <w:rPr>
          <w:rFonts w:cs="Times New Roman"/>
        </w:rPr>
        <w:t>ing</w:t>
      </w:r>
      <w:r w:rsidR="00764C1C" w:rsidRPr="00814236">
        <w:rPr>
          <w:rFonts w:cs="Times New Roman"/>
        </w:rPr>
        <w:t xml:space="preserve"> comfort.</w:t>
      </w:r>
      <w:r w:rsidRPr="00814236">
        <w:rPr>
          <w:rFonts w:cs="Times New Roman"/>
        </w:rPr>
        <w:t xml:space="preserve"> </w:t>
      </w:r>
      <w:r w:rsidR="001C589E" w:rsidRPr="00814236">
        <w:rPr>
          <w:rFonts w:cs="Times New Roman"/>
        </w:rPr>
        <w:t>MPC</w:t>
      </w:r>
      <w:r w:rsidR="002F3E14" w:rsidRPr="00814236">
        <w:rPr>
          <w:rFonts w:cs="Times New Roman"/>
        </w:rPr>
        <w:t xml:space="preserve"> </w:t>
      </w:r>
      <w:r w:rsidR="001C589E" w:rsidRPr="00814236">
        <w:rPr>
          <w:rFonts w:cs="Times New Roman"/>
        </w:rPr>
        <w:t xml:space="preserve">enhances the control of the technical installations in buildings by allowing the measurement of the state of the installation and predicting its future state based on a </w:t>
      </w:r>
      <w:r w:rsidR="004E116D" w:rsidRPr="00814236">
        <w:rPr>
          <w:rFonts w:cs="Times New Roman"/>
        </w:rPr>
        <w:t xml:space="preserve">given </w:t>
      </w:r>
      <w:r w:rsidR="001C589E" w:rsidRPr="00814236">
        <w:rPr>
          <w:rFonts w:cs="Times New Roman"/>
        </w:rPr>
        <w:t>model and data from different sources (e.g. weather forecasts, pricing information, etc.)</w:t>
      </w:r>
      <w:r w:rsidR="00867353" w:rsidRPr="00814236">
        <w:rPr>
          <w:rFonts w:cs="Times New Roman"/>
        </w:rPr>
        <w:t xml:space="preserve"> </w:t>
      </w:r>
      <w:r w:rsidR="001C589E" w:rsidRPr="00814236">
        <w:rPr>
          <w:rFonts w:cs="Times New Roman"/>
        </w:rPr>
        <w:fldChar w:fldCharType="begin" w:fldLock="1"/>
      </w:r>
      <w:r w:rsidR="00DF777E" w:rsidRPr="00814236">
        <w:rPr>
          <w:rFonts w:cs="Times New Roman"/>
        </w:rPr>
        <w:instrText>ADDIN CSL_CITATION {"citationItems":[{"id":"ITEM-1","itemData":{"DOI":"10.1016/j.enbuild.2010.10.022","abstract":"This paper presents model predictive controller (MPC) applied to the temperature control of real building. Conventional control strategies of a building heating system such as weather-compensated control cannot make use of the energy supplied to a building (e.g. solar gain in case of sunny day). Moreover dropout of outside temperature can lead to underheating of a building. Presented predictive controller uses both weather forecast and thermal model of a building to inside temperature control. By this, it can utilize thermal capacity of a building and minimize energy consumption. It can also maintain inside temperature at desired level independent of outside weather conditions. Nevertheless, proper identification of the building model is crucial. The models of multiple input multiple output systems (MIMO) can be identified by means of subspace methods. Oftentimes, the measured data used for identification are not satisfactory and need special treatment. During the 2009/2010 heating season, the controller was tested on a large university building and achieved savings of 17-24% compared to the present controller.","author":[{"dropping-particle":"","family":"Prívara","given":"Samuel","non-dropping-particle":"","parse-names":false,"suffix":""},{"dropping-particle":"","family":"Sirok´y","given":"Jaň","non-dropping-particle":"","parse-names":false,"suffix":""},{"dropping-particle":"","family":"Ferkl","given":"Lukáš","non-dropping-particle":"","parse-names":false,"suffix":""},{"dropping-particle":"","family":"Cigler","given":"Jiří","non-dropping-particle":"","parse-names":false,"suffix":""}],"container-title":"Energy and Buildings","id":"ITEM-1","issued":{"date-parts":[["2011"]]},"page":"564-572","title":"Model predictive control of a building heating system: The first experience","type":"article-journal","volume":"43"},"uris":["http://www.mendeley.com/documents/?uuid=a17b279d-2576-3d39-825a-25cd1ef32db8","http://www.mendeley.com/documents/?uuid=37b3c29e-dbde-401d-843f-543c7208358b"]}],"mendeley":{"formattedCitation":"(Prívara, Sirok´y, Ferkl, &amp; Cigler, 2011)","plainTextFormattedCitation":"(Prívara, Sirok´y, Ferkl, &amp; Cigler, 2011)","previouslyFormattedCitation":"(Prívara et al., 2011)"},"properties":{"noteIndex":0},"schema":"https://github.com/citation-style-language/schema/raw/master/csl-citation.json"}</w:instrText>
      </w:r>
      <w:r w:rsidR="001C589E" w:rsidRPr="00814236">
        <w:rPr>
          <w:rFonts w:cs="Times New Roman"/>
        </w:rPr>
        <w:fldChar w:fldCharType="separate"/>
      </w:r>
      <w:r w:rsidR="00DF777E" w:rsidRPr="00814236">
        <w:rPr>
          <w:rFonts w:cs="Times New Roman"/>
          <w:noProof/>
        </w:rPr>
        <w:t>(Prívara, Sirok´y, Ferkl, &amp; Cigler, 2011)</w:t>
      </w:r>
      <w:r w:rsidR="001C589E" w:rsidRPr="00814236">
        <w:rPr>
          <w:rFonts w:cs="Times New Roman"/>
        </w:rPr>
        <w:fldChar w:fldCharType="end"/>
      </w:r>
      <w:r w:rsidR="001C589E" w:rsidRPr="00814236">
        <w:rPr>
          <w:rFonts w:cs="Times New Roman"/>
        </w:rPr>
        <w:t xml:space="preserve">. MPC </w:t>
      </w:r>
      <w:r w:rsidR="004E116D" w:rsidRPr="00814236">
        <w:rPr>
          <w:rFonts w:cs="Times New Roman"/>
        </w:rPr>
        <w:t xml:space="preserve">carries out </w:t>
      </w:r>
      <w:r w:rsidR="002F3E14" w:rsidRPr="00814236">
        <w:rPr>
          <w:rFonts w:cs="Times New Roman"/>
        </w:rPr>
        <w:t>this simulation based on an</w:t>
      </w:r>
      <w:r w:rsidR="001C589E" w:rsidRPr="00814236">
        <w:rPr>
          <w:rFonts w:cs="Times New Roman"/>
        </w:rPr>
        <w:t xml:space="preserve"> embedd</w:t>
      </w:r>
      <w:r w:rsidR="002F3E14" w:rsidRPr="00814236">
        <w:rPr>
          <w:rFonts w:cs="Times New Roman"/>
        </w:rPr>
        <w:t>ed</w:t>
      </w:r>
      <w:r w:rsidR="001C589E" w:rsidRPr="00814236">
        <w:rPr>
          <w:rFonts w:cs="Times New Roman"/>
        </w:rPr>
        <w:t xml:space="preserve"> model of the system in the controller. </w:t>
      </w:r>
      <w:r w:rsidR="002F3E14" w:rsidRPr="00814236">
        <w:rPr>
          <w:rFonts w:cs="Times New Roman"/>
        </w:rPr>
        <w:t>In the controller</w:t>
      </w:r>
      <w:r w:rsidR="004E116D" w:rsidRPr="00814236">
        <w:rPr>
          <w:rFonts w:cs="Times New Roman"/>
        </w:rPr>
        <w:t>,</w:t>
      </w:r>
      <w:r w:rsidR="002F3E14" w:rsidRPr="00814236">
        <w:rPr>
          <w:rFonts w:cs="Times New Roman"/>
        </w:rPr>
        <w:t xml:space="preserve"> a</w:t>
      </w:r>
      <w:r w:rsidR="001C589E" w:rsidRPr="00814236">
        <w:rPr>
          <w:rFonts w:cs="Times New Roman"/>
        </w:rPr>
        <w:t>n optimisation of the control signal</w:t>
      </w:r>
      <w:r w:rsidR="004E116D" w:rsidRPr="00814236">
        <w:rPr>
          <w:rFonts w:cs="Times New Roman"/>
        </w:rPr>
        <w:t xml:space="preserve"> </w:t>
      </w:r>
      <w:r w:rsidR="004E116D" w:rsidRPr="00814236">
        <w:rPr>
          <w:rFonts w:cs="Times New Roman"/>
        </w:rPr>
        <w:lastRenderedPageBreak/>
        <w:t>–</w:t>
      </w:r>
      <w:r w:rsidR="002F3E14" w:rsidRPr="00814236">
        <w:rPr>
          <w:rFonts w:cs="Times New Roman"/>
        </w:rPr>
        <w:t xml:space="preserve"> </w:t>
      </w:r>
      <w:r w:rsidR="004E116D" w:rsidRPr="00814236">
        <w:rPr>
          <w:rFonts w:cs="Times New Roman"/>
        </w:rPr>
        <w:t xml:space="preserve">which </w:t>
      </w:r>
      <w:r w:rsidR="001C589E" w:rsidRPr="00814236">
        <w:rPr>
          <w:rFonts w:cs="Times New Roman"/>
        </w:rPr>
        <w:t>takes constraints into account</w:t>
      </w:r>
      <w:r w:rsidR="004E116D" w:rsidRPr="00814236">
        <w:rPr>
          <w:rFonts w:cs="Times New Roman"/>
        </w:rPr>
        <w:t xml:space="preserve"> –</w:t>
      </w:r>
      <w:r w:rsidR="001C589E" w:rsidRPr="00814236">
        <w:rPr>
          <w:rFonts w:cs="Times New Roman"/>
        </w:rPr>
        <w:t xml:space="preserve"> can be calculated before applying the control signal to the real system. Next to a cost savings potential of 17% to 24%</w:t>
      </w:r>
      <w:r w:rsidR="004E116D" w:rsidRPr="00814236">
        <w:t xml:space="preserve"> </w:t>
      </w:r>
      <w:r w:rsidR="004E116D" w:rsidRPr="00814236">
        <w:rPr>
          <w:rFonts w:cs="Times New Roman"/>
        </w:rPr>
        <w:t>on energy</w:t>
      </w:r>
      <w:r w:rsidR="00D46911" w:rsidRPr="00814236">
        <w:rPr>
          <w:rFonts w:cs="Times New Roman"/>
        </w:rPr>
        <w:t xml:space="preserve"> </w:t>
      </w:r>
      <w:r w:rsidR="00D46911" w:rsidRPr="00814236">
        <w:rPr>
          <w:rFonts w:cs="Times New Roman"/>
        </w:rPr>
        <w:fldChar w:fldCharType="begin" w:fldLock="1"/>
      </w:r>
      <w:r w:rsidR="00282971" w:rsidRPr="00814236">
        <w:rPr>
          <w:rFonts w:cs="Times New Roman"/>
        </w:rPr>
        <w:instrText>ADDIN CSL_CITATION {"citationItems":[{"id":"ITEM-1","itemData":{"DOI":"10.1016/j.enbuild.2010.10.022","abstract":"This paper presents model predictive controller (MPC) applied to the temperature control of real building. Conventional control strategies of a building heating system such as weather-compensated control cannot make use of the energy supplied to a building (e.g. solar gain in case of sunny day). Moreover dropout of outside temperature can lead to underheating of a building. Presented predictive controller uses both weather forecast and thermal model of a building to inside temperature control. By this, it can utilize thermal capacity of a building and minimize energy consumption. It can also maintain inside temperature at desired level independent of outside weather conditions. Nevertheless, proper identification of the building model is crucial. The models of multiple input multiple output systems (MIMO) can be identified by means of subspace methods. Oftentimes, the measured data used for identification are not satisfactory and need special treatment. During the 2009/2010 heating season, the controller was tested on a large university building and achieved savings of 17-24% compared to the present controller.","author":[{"dropping-particle":"","family":"Prívara","given":"Samuel","non-dropping-particle":"","parse-names":false,"suffix":""},{"dropping-particle":"","family":"Sirok´y","given":"Jaň","non-dropping-particle":"","parse-names":false,"suffix":""},{"dropping-particle":"","family":"Ferkl","given":"Lukáš","non-dropping-particle":"","parse-names":false,"suffix":""},{"dropping-particle":"","family":"Cigler","given":"Jiří","non-dropping-particle":"","parse-names":false,"suffix":""}],"container-title":"Energy and Buildings","id":"ITEM-1","issued":{"date-parts":[["2011"]]},"page":"564-572","title":"Model predictive control of a building heating system: The first experience","type":"article-journal","volume":"43"},"uris":["http://www.mendeley.com/documents/?uuid=a17b279d-2576-3d39-825a-25cd1ef32db8"]}],"mendeley":{"formattedCitation":"(Prívara et al., 2011)","plainTextFormattedCitation":"(Prívara et al., 2011)","previouslyFormattedCitation":"(Prívara et al., 2011)"},"properties":{"noteIndex":0},"schema":"https://github.com/citation-style-language/schema/raw/master/csl-citation.json"}</w:instrText>
      </w:r>
      <w:r w:rsidR="00D46911" w:rsidRPr="00814236">
        <w:rPr>
          <w:rFonts w:cs="Times New Roman"/>
        </w:rPr>
        <w:fldChar w:fldCharType="separate"/>
      </w:r>
      <w:r w:rsidR="00D46911" w:rsidRPr="00814236">
        <w:rPr>
          <w:rFonts w:cs="Times New Roman"/>
          <w:noProof/>
        </w:rPr>
        <w:t>(Prívara et al., 2011)</w:t>
      </w:r>
      <w:r w:rsidR="00D46911" w:rsidRPr="00814236">
        <w:rPr>
          <w:rFonts w:cs="Times New Roman"/>
        </w:rPr>
        <w:fldChar w:fldCharType="end"/>
      </w:r>
      <w:r w:rsidR="001C589E" w:rsidRPr="00814236">
        <w:rPr>
          <w:rFonts w:cs="Times New Roman"/>
        </w:rPr>
        <w:t xml:space="preserve">, it is shown that it is possible to adapt the use of </w:t>
      </w:r>
      <w:r w:rsidR="00042280" w:rsidRPr="00814236">
        <w:rPr>
          <w:rFonts w:cs="Times New Roman"/>
        </w:rPr>
        <w:t>power</w:t>
      </w:r>
      <w:r w:rsidR="001C589E" w:rsidRPr="00814236">
        <w:rPr>
          <w:rFonts w:cs="Times New Roman"/>
        </w:rPr>
        <w:t xml:space="preserve"> </w:t>
      </w:r>
      <w:r w:rsidR="004E116D" w:rsidRPr="00814236">
        <w:rPr>
          <w:rFonts w:cs="Times New Roman"/>
        </w:rPr>
        <w:t xml:space="preserve">where the </w:t>
      </w:r>
      <w:r w:rsidR="001C589E" w:rsidRPr="00814236">
        <w:rPr>
          <w:rFonts w:cs="Times New Roman"/>
        </w:rPr>
        <w:t>technical constraints</w:t>
      </w:r>
      <w:r w:rsidR="004E116D" w:rsidRPr="00814236">
        <w:rPr>
          <w:rFonts w:cs="Times New Roman"/>
        </w:rPr>
        <w:t xml:space="preserve"> are given</w:t>
      </w:r>
      <w:r w:rsidR="006C05ED" w:rsidRPr="00814236">
        <w:rPr>
          <w:rFonts w:cs="Times New Roman"/>
        </w:rPr>
        <w:t>. Hence, by fine-tuning</w:t>
      </w:r>
      <w:r w:rsidR="001C589E" w:rsidRPr="00814236">
        <w:rPr>
          <w:rFonts w:cs="Times New Roman"/>
        </w:rPr>
        <w:t xml:space="preserve"> the </w:t>
      </w:r>
      <w:r w:rsidR="006C05ED" w:rsidRPr="00814236">
        <w:rPr>
          <w:rFonts w:cs="Times New Roman"/>
        </w:rPr>
        <w:t>set points</w:t>
      </w:r>
      <w:r w:rsidR="001C589E" w:rsidRPr="00814236">
        <w:rPr>
          <w:rFonts w:cs="Times New Roman"/>
        </w:rPr>
        <w:t xml:space="preserve"> of the installation</w:t>
      </w:r>
      <w:r w:rsidR="006C05ED" w:rsidRPr="00814236">
        <w:rPr>
          <w:rFonts w:cs="Times New Roman"/>
        </w:rPr>
        <w:t>, energy consumption can be minim</w:t>
      </w:r>
      <w:r w:rsidR="00E927FA" w:rsidRPr="00814236">
        <w:rPr>
          <w:rFonts w:cs="Times New Roman"/>
        </w:rPr>
        <w:t>is</w:t>
      </w:r>
      <w:r w:rsidR="006C05ED" w:rsidRPr="00814236">
        <w:rPr>
          <w:rFonts w:cs="Times New Roman"/>
        </w:rPr>
        <w:t>ed</w:t>
      </w:r>
      <w:r w:rsidR="001C589E" w:rsidRPr="00814236">
        <w:rPr>
          <w:rFonts w:cs="Times New Roman"/>
        </w:rPr>
        <w:t xml:space="preserve">. </w:t>
      </w:r>
    </w:p>
    <w:p w14:paraId="4C784E56" w14:textId="6BE471EF" w:rsidR="00985C8B" w:rsidRPr="00814236" w:rsidRDefault="00985C8B" w:rsidP="00141F1C">
      <w:pPr>
        <w:rPr>
          <w:rFonts w:cs="Times New Roman"/>
        </w:rPr>
      </w:pPr>
      <w:r w:rsidRPr="00814236">
        <w:rPr>
          <w:rFonts w:cs="Times New Roman"/>
        </w:rPr>
        <w:t xml:space="preserve">Optimising energy consumption for economic benefit triggered the development of an EMPC </w:t>
      </w:r>
      <w:r w:rsidR="000D1324" w:rsidRPr="00814236">
        <w:rPr>
          <w:rFonts w:cs="Times New Roman"/>
        </w:rPr>
        <w:t>(</w:t>
      </w:r>
      <w:r w:rsidR="004E116D" w:rsidRPr="00814236">
        <w:rPr>
          <w:rFonts w:cs="Times New Roman"/>
        </w:rPr>
        <w:t>economic model predictive control</w:t>
      </w:r>
      <w:r w:rsidR="000D1324" w:rsidRPr="00814236">
        <w:rPr>
          <w:rFonts w:cs="Times New Roman"/>
        </w:rPr>
        <w:t xml:space="preserve">) </w:t>
      </w:r>
      <w:r w:rsidRPr="00814236">
        <w:rPr>
          <w:rFonts w:cs="Times New Roman"/>
        </w:rPr>
        <w:t xml:space="preserve">controller. As shown in </w:t>
      </w:r>
      <w:r w:rsidR="004E116D" w:rsidRPr="00814236">
        <w:rPr>
          <w:rFonts w:cs="Times New Roman"/>
        </w:rPr>
        <w:t>Ma et al. (2011)</w:t>
      </w:r>
      <w:r w:rsidRPr="00814236">
        <w:rPr>
          <w:rFonts w:cs="Times New Roman"/>
        </w:rPr>
        <w:fldChar w:fldCharType="begin" w:fldLock="1"/>
      </w:r>
      <w:r w:rsidR="00D46911" w:rsidRPr="00814236">
        <w:rPr>
          <w:rFonts w:cs="Times New Roman"/>
        </w:rPr>
        <w:instrText>ADDIN CSL_CITATION {"citationItems":[{"id":"ITEM-1","itemData":{"DOI":"10.1016/j.ces.2011.07.052","abstract":"This paper proposes and demonstrates the effectiveness of an economic model predictive control (MPC) technique in reducing energy and demand costs for building heating, ventilating, and air conditioning (HVAC) systems. A simulated multi-zone commercial building equipped with of variable air volume (VAV) cooling system is built in Energyplus. With the introduced Building Controls Virtual Test Bed (BCVTB) as middleware, real-time data exchange between Energyplus and a Matlab controller is realized by sending and receiving sockets. System identification is performed to obtain zone temperature and power models, which are used in the MPC framework. The economic objective function in MPC accounts for the daily electricity costs, which include time-of-use (TOU) energy charge and demand charge. In each time step, a min-max optimization is formulated and converted into a linear programming problem and solved. In a weekly simulation, a pre-cooling effect during off-peak period and a cooling discharge from the building thermal mass during on-peak period can be observed. Cost savings by MPC are estimated by comparing with the baseline and other open-loop control strategies. The effect of several experimental factors in the MPC configuration is investigated and the best scenario is selected for future practical tests.","author":[{"dropping-particle":"","family":"Ma","given":"Jingran","non-dropping-particle":"","parse-names":false,"suffix":""},{"dropping-particle":"","family":"Qin","given":"Joe","non-dropping-particle":"","parse-names":false,"suffix":""},{"dropping-particle":"","family":"Salsbury","given":"Timothy","non-dropping-particle":"","parse-names":false,"suffix":""},{"dropping-particle":"","family":"Xu","given":"Peng","non-dropping-particle":"","parse-names":false,"suffix":""}],"id":"ITEM-1","issued":{"date-parts":[["2011"]]},"title":"Demand reduction in building energy systems based on economic model predictive control","type":"article-journal"},"uris":["http://www.mendeley.com/documents/?uuid=ef47bd8e-0fa4-4b0a-9d46-4b0e0d3dccc0","http://www.mendeley.com/documents/?uuid=70bce8de-c5aa-3b40-8e74-4f050dc1ad24"]}],"mendeley":{"formattedCitation":"(Ma et al., 2011)","plainTextFormattedCitation":"(Ma et al., 2011)","previouslyFormattedCitation":"(Ma et al., 2011)"},"properties":{"noteIndex":0},"schema":"https://github.com/citation-style-language/schema/raw/master/csl-citation.json"}</w:instrText>
      </w:r>
      <w:r w:rsidRPr="00814236">
        <w:rPr>
          <w:rFonts w:cs="Times New Roman"/>
        </w:rPr>
        <w:fldChar w:fldCharType="end"/>
      </w:r>
      <w:r w:rsidRPr="00814236">
        <w:rPr>
          <w:rFonts w:cs="Times New Roman"/>
        </w:rPr>
        <w:t>, the difference between an EMPC and an MPC controller is that the optimisation for the former is calculated using economic data</w:t>
      </w:r>
      <w:r w:rsidRPr="00814236" w:rsidDel="00A52011">
        <w:rPr>
          <w:rFonts w:cs="Times New Roman"/>
        </w:rPr>
        <w:t xml:space="preserve"> </w:t>
      </w:r>
      <w:r w:rsidRPr="00814236">
        <w:rPr>
          <w:rFonts w:cs="Times New Roman"/>
        </w:rPr>
        <w:t xml:space="preserve">integrated with technical information. This makes it possible to take time of use (i.e. pricing based on when energy is </w:t>
      </w:r>
      <w:r w:rsidR="000D1324" w:rsidRPr="00814236">
        <w:rPr>
          <w:rFonts w:cs="Times New Roman"/>
        </w:rPr>
        <w:t>used</w:t>
      </w:r>
      <w:r w:rsidRPr="00814236">
        <w:rPr>
          <w:rFonts w:cs="Times New Roman"/>
        </w:rPr>
        <w:t xml:space="preserve">) and other time-dependent parameters (e.g. state of the net) into account while minimising the economic cost function. This means that the most optimal point is not always the lowest energy consumption, but the weighing of different technical and economic parameters. </w:t>
      </w:r>
    </w:p>
    <w:p w14:paraId="12C97CB8" w14:textId="752CEC87" w:rsidR="00985C8B" w:rsidRPr="00814236" w:rsidRDefault="00562F28" w:rsidP="00141F1C">
      <w:pPr>
        <w:rPr>
          <w:rFonts w:cs="Times New Roman"/>
        </w:rPr>
      </w:pPr>
      <w:r w:rsidRPr="00814236">
        <w:rPr>
          <w:rFonts w:cs="Times New Roman"/>
        </w:rPr>
        <w:t xml:space="preserve">The need for data to enable the optimisation and the functioning of the (E)MPC controller leads to smart buildings. </w:t>
      </w:r>
      <w:r w:rsidR="00985C8B" w:rsidRPr="00814236">
        <w:rPr>
          <w:rFonts w:cs="Times New Roman"/>
        </w:rPr>
        <w:t xml:space="preserve">Smart buildings generate data that can be used to more accurately </w:t>
      </w:r>
      <w:r w:rsidR="007A41DA" w:rsidRPr="00814236">
        <w:rPr>
          <w:rFonts w:cs="Times New Roman"/>
        </w:rPr>
        <w:t>predict t</w:t>
      </w:r>
      <w:r w:rsidR="00985C8B" w:rsidRPr="00814236">
        <w:rPr>
          <w:rFonts w:cs="Times New Roman"/>
        </w:rPr>
        <w:t xml:space="preserve">he future state of the building’s technical installation. </w:t>
      </w:r>
      <w:r w:rsidR="007A41DA" w:rsidRPr="00814236">
        <w:rPr>
          <w:rFonts w:cs="Times New Roman"/>
        </w:rPr>
        <w:t>Here, n</w:t>
      </w:r>
      <w:r w:rsidR="00985C8B" w:rsidRPr="00814236">
        <w:rPr>
          <w:rFonts w:cs="Times New Roman"/>
        </w:rPr>
        <w:t xml:space="preserve">ot only </w:t>
      </w:r>
      <w:r w:rsidR="007A41DA" w:rsidRPr="00814236">
        <w:rPr>
          <w:rFonts w:cs="Times New Roman"/>
        </w:rPr>
        <w:t xml:space="preserve">can </w:t>
      </w:r>
      <w:r w:rsidR="00985C8B" w:rsidRPr="00814236">
        <w:rPr>
          <w:rFonts w:cs="Times New Roman"/>
        </w:rPr>
        <w:t xml:space="preserve">the state of the technical installation be predicted but also the future use of the building. </w:t>
      </w:r>
      <w:r w:rsidR="007A41DA" w:rsidRPr="00814236">
        <w:rPr>
          <w:rFonts w:cs="Times New Roman"/>
        </w:rPr>
        <w:t>The c</w:t>
      </w:r>
      <w:r w:rsidR="00985C8B" w:rsidRPr="00814236">
        <w:rPr>
          <w:rFonts w:cs="Times New Roman"/>
        </w:rPr>
        <w:t xml:space="preserve">ombination of these data sources </w:t>
      </w:r>
      <w:r w:rsidR="00AF7C64" w:rsidRPr="00814236">
        <w:rPr>
          <w:rFonts w:cs="Times New Roman"/>
        </w:rPr>
        <w:t>reveals that a</w:t>
      </w:r>
      <w:r w:rsidR="00985C8B" w:rsidRPr="00814236">
        <w:rPr>
          <w:rFonts w:cs="Times New Roman"/>
        </w:rPr>
        <w:t xml:space="preserve"> building’s technical installation can deliver </w:t>
      </w:r>
      <w:r w:rsidR="00AF7C64" w:rsidRPr="00814236">
        <w:rPr>
          <w:rFonts w:cs="Times New Roman"/>
        </w:rPr>
        <w:t xml:space="preserve">flexibility in energy use </w:t>
      </w:r>
      <w:r w:rsidR="00985C8B" w:rsidRPr="00814236">
        <w:rPr>
          <w:rFonts w:cs="Times New Roman"/>
        </w:rPr>
        <w:t xml:space="preserve">without interfering with the activities in the building. </w:t>
      </w:r>
      <w:r w:rsidR="00AF7C64" w:rsidRPr="00814236">
        <w:rPr>
          <w:rFonts w:cs="Times New Roman"/>
        </w:rPr>
        <w:t>The possibility o</w:t>
      </w:r>
      <w:r w:rsidR="00F910D1">
        <w:rPr>
          <w:rFonts w:cs="Times New Roman"/>
        </w:rPr>
        <w:t>f</w:t>
      </w:r>
      <w:r w:rsidR="00AF7C64" w:rsidRPr="00814236">
        <w:rPr>
          <w:rFonts w:cs="Times New Roman"/>
        </w:rPr>
        <w:t xml:space="preserve"> maxim</w:t>
      </w:r>
      <w:r w:rsidR="00E927FA" w:rsidRPr="00814236">
        <w:rPr>
          <w:rFonts w:cs="Times New Roman"/>
        </w:rPr>
        <w:t>is</w:t>
      </w:r>
      <w:r w:rsidR="00F910D1">
        <w:rPr>
          <w:rFonts w:cs="Times New Roman"/>
        </w:rPr>
        <w:t>ing</w:t>
      </w:r>
      <w:r w:rsidR="00AF7C64" w:rsidRPr="00814236">
        <w:rPr>
          <w:rFonts w:cs="Times New Roman"/>
        </w:rPr>
        <w:t xml:space="preserve"> the flexibility leads </w:t>
      </w:r>
      <w:r w:rsidR="00282971" w:rsidRPr="00814236">
        <w:rPr>
          <w:rFonts w:cs="Times New Roman"/>
        </w:rPr>
        <w:t xml:space="preserve">to a maximal effect of the control strategy </w:t>
      </w:r>
      <w:r w:rsidR="00282971" w:rsidRPr="00814236">
        <w:rPr>
          <w:rFonts w:cs="Times New Roman"/>
        </w:rPr>
        <w:fldChar w:fldCharType="begin" w:fldLock="1"/>
      </w:r>
      <w:r w:rsidR="006E1190" w:rsidRPr="00814236">
        <w:rPr>
          <w:rFonts w:cs="Times New Roman"/>
        </w:rPr>
        <w:instrText>ADDIN CSL_CITATION {"citationItems":[{"id":"ITEM-1","itemData":{"DOI":"10.1016/j.enbuild.2013.01.008","ISSN":"03787788","author":[{"dropping-particle":"","family":"Avci","given":"Mesut","non-dropping-particle":"","parse-names":false,"suffix":""},{"dropping-particle":"","family":"Erkoc","given":"Murat","non-dropping-particle":"","parse-names":false,"suffix":""},{"dropping-particle":"","family":"Rahmani","given":"Amir","non-dropping-particle":"","parse-names":false,"suffix":""},{"dropping-particle":"","family":"Asfour","given":"Shihab","non-dropping-particle":"","parse-names":false,"suffix":""}],"container-title":"Energy and Buildings","id":"ITEM-1","issued":{"date-parts":[["2013","5"]]},"page":"199-209","title":"Model predictive HVAC load control in buildings using real-time electricity pricing","type":"article-journal","volume":"60"},"uris":["http://www.mendeley.com/documents/?uuid=25f2c444-fd53-3493-b74f-038694202096"]}],"mendeley":{"formattedCitation":"(Avci, Erkoc, Rahmani, &amp; Asfour, 2013)","plainTextFormattedCitation":"(Avci, Erkoc, Rahmani, &amp; Asfour, 2013)","previouslyFormattedCitation":"(Avci, Erkoc, Rahmani, &amp; Asfour, 2013)"},"properties":{"noteIndex":0},"schema":"https://github.com/citation-style-language/schema/raw/master/csl-citation.json"}</w:instrText>
      </w:r>
      <w:r w:rsidR="00282971" w:rsidRPr="00814236">
        <w:rPr>
          <w:rFonts w:cs="Times New Roman"/>
        </w:rPr>
        <w:fldChar w:fldCharType="separate"/>
      </w:r>
      <w:r w:rsidR="003B0245" w:rsidRPr="00814236">
        <w:rPr>
          <w:rFonts w:cs="Times New Roman"/>
          <w:noProof/>
        </w:rPr>
        <w:t>(Avci, Erkoc, Rahmani, &amp; Asfour, 2013)</w:t>
      </w:r>
      <w:r w:rsidR="00282971" w:rsidRPr="00814236">
        <w:rPr>
          <w:rFonts w:cs="Times New Roman"/>
        </w:rPr>
        <w:fldChar w:fldCharType="end"/>
      </w:r>
      <w:r w:rsidR="00B76547" w:rsidRPr="00814236">
        <w:rPr>
          <w:rFonts w:cs="Times New Roman"/>
        </w:rPr>
        <w:t>. Hence, because of the flexibility they offer, smart buildings have</w:t>
      </w:r>
      <w:r w:rsidR="00282971" w:rsidRPr="00814236">
        <w:rPr>
          <w:rFonts w:cs="Times New Roman"/>
        </w:rPr>
        <w:t xml:space="preserve"> the ability to resolve </w:t>
      </w:r>
      <w:r w:rsidR="007A41DA" w:rsidRPr="00814236">
        <w:rPr>
          <w:rFonts w:cs="Times New Roman"/>
        </w:rPr>
        <w:t xml:space="preserve">any </w:t>
      </w:r>
      <w:r w:rsidR="00282971" w:rsidRPr="00814236">
        <w:rPr>
          <w:rFonts w:cs="Times New Roman"/>
        </w:rPr>
        <w:t xml:space="preserve">imbalance in the net </w:t>
      </w:r>
      <w:r w:rsidR="00282971" w:rsidRPr="00814236">
        <w:rPr>
          <w:rFonts w:cs="Times New Roman"/>
        </w:rPr>
        <w:fldChar w:fldCharType="begin" w:fldLock="1"/>
      </w:r>
      <w:r w:rsidR="006E1190" w:rsidRPr="00814236">
        <w:rPr>
          <w:rFonts w:cs="Times New Roman"/>
        </w:rPr>
        <w:instrText>ADDIN CSL_CITATION {"citationItems":[{"id":"ITEM-1","itemData":{"DOI":"10.1016/j.autcon.2017.12.012","ISSN":"09265805","author":[{"dropping-particle":"","family":"Tang","given":"Rui","non-dropping-particle":"","parse-names":false,"suffix":""},{"dropping-particle":"","family":"Wang","given":"Shengwei","non-dropping-particle":"","parse-names":false,"suffix":""},{"dropping-particle":"","family":"Yan","given":"Chengchu","non-dropping-particle":"","parse-names":false,"suffix":""}],"container-title":"Automation in Construction","id":"ITEM-1","issued":{"date-parts":[["2018","3"]]},"page":"74-83","title":"A direct load control strategy of centralized air-conditioning systems for building fast demand response to urgent requests of smart grids","type":"article-journal","volume":"87"},"uris":["http://www.mendeley.com/documents/?uuid=62601d19-1c1d-3b42-b1f1-5ba45751b16c"]}],"mendeley":{"formattedCitation":"(Tang, Wang, &amp; Yan, 2018)","plainTextFormattedCitation":"(Tang, Wang, &amp; Yan, 2018)","previouslyFormattedCitation":"(Tang, Wang, &amp; Yan, 2018)"},"properties":{"noteIndex":0},"schema":"https://github.com/citation-style-language/schema/raw/master/csl-citation.json"}</w:instrText>
      </w:r>
      <w:r w:rsidR="00282971" w:rsidRPr="00814236">
        <w:rPr>
          <w:rFonts w:cs="Times New Roman"/>
        </w:rPr>
        <w:fldChar w:fldCharType="separate"/>
      </w:r>
      <w:r w:rsidR="003B0245" w:rsidRPr="00814236">
        <w:rPr>
          <w:rFonts w:cs="Times New Roman"/>
          <w:noProof/>
        </w:rPr>
        <w:t>(Tang, Wang, &amp; Yan, 2018)</w:t>
      </w:r>
      <w:r w:rsidR="00282971" w:rsidRPr="00814236">
        <w:rPr>
          <w:rFonts w:cs="Times New Roman"/>
        </w:rPr>
        <w:fldChar w:fldCharType="end"/>
      </w:r>
      <w:r w:rsidR="00282971" w:rsidRPr="00814236">
        <w:rPr>
          <w:rFonts w:cs="Times New Roman"/>
        </w:rPr>
        <w:t>.</w:t>
      </w:r>
    </w:p>
    <w:p w14:paraId="578ABCA0" w14:textId="5DB0A123" w:rsidR="007A41DA" w:rsidRPr="00814236" w:rsidRDefault="00687BA6" w:rsidP="00141F1C">
      <w:pPr>
        <w:rPr>
          <w:rFonts w:cs="Times New Roman"/>
        </w:rPr>
      </w:pPr>
      <w:r w:rsidRPr="00814236">
        <w:rPr>
          <w:rFonts w:cs="Times New Roman"/>
        </w:rPr>
        <w:lastRenderedPageBreak/>
        <w:t xml:space="preserve">Flexibility </w:t>
      </w:r>
      <w:r w:rsidR="00F910D1" w:rsidRPr="00F910D1">
        <w:rPr>
          <w:rFonts w:cs="Times New Roman"/>
        </w:rPr>
        <w:t xml:space="preserve">in buildings </w:t>
      </w:r>
      <w:r w:rsidRPr="00814236">
        <w:rPr>
          <w:rFonts w:cs="Times New Roman"/>
        </w:rPr>
        <w:t>(</w:t>
      </w:r>
      <w:r w:rsidRPr="00A907D5">
        <w:rPr>
          <w:rFonts w:cs="Times New Roman"/>
        </w:rPr>
        <w:t>i.e.</w:t>
      </w:r>
      <w:r w:rsidRPr="00814236">
        <w:rPr>
          <w:rFonts w:cs="Times New Roman"/>
        </w:rPr>
        <w:t xml:space="preserve"> the extent to which a building has the possibility to adapt its energy profile) is estimated and analysed using different models </w:t>
      </w:r>
      <w:r w:rsidR="006E1190" w:rsidRPr="00814236">
        <w:rPr>
          <w:rFonts w:cs="Times New Roman"/>
        </w:rPr>
        <w:fldChar w:fldCharType="begin" w:fldLock="1"/>
      </w:r>
      <w:r w:rsidR="006E1190" w:rsidRPr="00814236">
        <w:rPr>
          <w:rFonts w:cs="Times New Roman"/>
        </w:rPr>
        <w:instrText>ADDIN CSL_CITATION {"citationItems":[{"id":"ITEM-1","itemData":{"DOI":"10.1016/j.apenergy.2015.10.114","ISSN":"03062619","abstract":"The smart grid paradigm implies flexible demand and energy storage in order to cope with the variability of renewable energy sources. Buildings are often put forward as a potential supplier of flexibility services through demand side management (DSM) and distributed energy storage, partly as thermal energy. This paper presents a bottom-up approach for the quantification of this flexibility service. Cost curves are computed from the solution of optimal control problems with low-order models. These curves show the amount of flexibility and their associated cost. The method is generic and can be applied to heating, ventilation and air-conditioning (HVAC) services, thermal energy storage (TES) and local electricity production. A case study is performed on a monitored office building in Brussels, Belgium. The results reveal a large variation in both flexibility and cost depending on time, weather, utility rates, building use and comfort requirements. The study shows that for the studied day, flexibility is not for free. The mean flexibility cost has the same order of magnitude as the imbalance price in the Belgian power system.","author":[{"dropping-particle":"","family":"Coninck","given":"Roel","non-dropping-particle":"De","parse-names":false,"suffix":""},{"dropping-particle":"","family":"Helsen","given":"Lieve","non-dropping-particle":"","parse-names":false,"suffix":""}],"container-title":"Applied Energy","id":"ITEM-1","issued":{"date-parts":[["2016"]]},"title":"Quantification of flexibility in buildings by cost curves - Methodology and application","type":"article-journal","volume":"162"},"uris":["http://www.mendeley.com/documents/?uuid=6072a118-a448-321a-be4c-fe5aee43848d"]},{"id":"ITEM-2","itemData":{"DOI":"10.1016/j.apenergy.2017.06.073","ISSN":"03062619","abstract":"This numerical study evaluates and compares four different flexibility and storage options in building energy systems (batteries, fuel switch, water tanks, and thermal building mass) in terms of potential improvements in load scheduling and energy efficiency. Using a generic modern office building with concrete core conditioning as an example, two different supply concepts (one based on a heat pump, one based on a CHP unit) are considered. A novel hybrid control concept is applied which is designed to be compatible with state-of-the-art controllers implemented in the field. The results show that batteries are the most technically attractive options in terms of grid support, efficiency and ease of implementation. Fuel switch is comparably straightforward to implement, but provides significant benefits only for the considered CHP system. Water tanks with a capacity of about two full operation hours offer nearly the same flexibility as much larger tanks, but negatively influence the efficiency of heat pump systems. The thermal building mass can be used effectively and efficiently for thermal storage, particularly in the heating season, but this is technically challenging to realize. It is shown that current electricity prices do not offer sufficient variations to stimulate grid-supportive operation.","author":[{"dropping-particle":"","family":"Klein","given":"Konstantin","non-dropping-particle":"","parse-names":false,"suffix":""},{"dropping-particle":"","family":"Herkel","given":"Sebastian","non-dropping-particle":"","parse-names":false,"suffix":""},{"dropping-particle":"","family":"Henning","given":"Hans Martin","non-dropping-particle":"","parse-names":false,"suffix":""},{"dropping-particle":"","family":"Felsmann","given":"Clemens","non-dropping-particle":"","parse-names":false,"suffix":""}],"container-title":"Applied Energy","id":"ITEM-2","issued":{"date-parts":[["2017"]]},"title":"Load shifting using the heating and cooling system of an office building: Quantitative potential evaluation for different flexibility and storage options","type":"article-journal"},"uris":["http://www.mendeley.com/documents/?uuid=7c9a55b9-65ed-3b86-b5de-2e21d76e4dee"]},{"id":"ITEM-3","itemData":{"DOI":"10.1016/j.apenergy.2017.06.040","ISSN":"03062619","abstract":"Demand Side Management (DSM) provides ancillary service to the electric grid by modifying customers electricity demand. Demand Response (DR) and Demand Flexibility (DF) programs from buildings are well-adopted ancillary services to reduce the peak demand in grids by altering the power consumption strategy. Heating, Ventilation and Air-Conditioning (HVAC) systems are one of the largest energy demands in commercial buildings. In addition, HVAC systems are flexible to provide DR service to the grid. In this study, two common configuration topologies of building integration with Energy Storage Systems (ESS) and renewables are considered. A real-time optimization framework based on Model Predictive Control (MPC) is designed to control the power flow from the grid, solar Photovoltaic (PV) panels, and ESS to a commercial building with HVAC systems. The MPC framework uses the inherent thermal mass storage of the building and the ESS as a means to provide DR. Deterministic and probabilistic analysis are studied to investigate the effectiveness of the proposed framework on Building-to-Grid (B2G) systems. Our deterministic results show that the proposed optimization and control framework for B2G systems can significantly reduce the maximum load ramp-rate of the electric grid to prevent duck-curve problems associated with increase in solar PV penetration into the grid. Based on probabilistic results, even under prediction uncertainties, electricity cost saving and ramp-rate reduction is achievable. The results show that this DR service does not affect the building indoor climate in a way noticeable to humans and its effect on the operational building costs is reduced. The B2G simulation testbed in this paper is based on the experimental data obtained from an office building, PV panels, and battery packs integrated with a three-phase unbalanced distribution test feeder. A Monte-Carlo simulation is carried out to account for uncertainties of the proposed method. Both deterministic and stochastic analyses show the effectiveness of the proposed predictive power flow control to decrease the building operation electricity costs and load ramp-rates.","author":[{"dropping-particle":"","family":"Razmara","given":"M.","non-dropping-particle":"","parse-names":false,"suffix":""},{"dropping-particle":"","family":"Bharati","given":"G. R.","non-dropping-particle":"","parse-names":false,"suffix":""},{"dropping-particle":"","family":"Hanover","given":"Drew","non-dropping-particle":"","parse-names":false,"suffix":""},{"dropping-particle":"","family":"Shahbakhti","given":"M.","non-dropping-particle":"","parse-names":false,"suffix":""},{"dropping-particle":"","family":"Paudyal","given":"S.","non-dropping-particle":"","parse-names":false,"suffix":""},{"dropping-particle":"","family":"Robinett","given":"R. D.","non-dropping-particle":"","parse-names":false,"suffix":""}],"container-title":"Applied Energy","id":"ITEM-3","issued":{"date-parts":[["2017"]]},"page":"128-141","publisher":"Elsevier Ltd","title":"Building-to-grid predictive power flow control for demand response and demand flexibility programs","type":"article-journal","volume":"203"},"uris":["http://www.mendeley.com/documents/?uuid=645e0114-8f0b-4349-a624-b6e9564fa065"]},{"id":"ITEM-4","itemData":{"author":[{"dropping-particle":"","family":"Weber","given":"Christoph","non-dropping-particle":"","parse-names":false,"suffix":""}],"id":"ITEM-4","issue":"09","issued":{"date-parts":[["2017"]]},"title":"Modeling the Value of Flexible Heat Pumps","type":"article-journal"},"uris":["http://www.mendeley.com/documents/?uuid=caa62cde-19f2-4360-aa0b-f103f99cafd9"]},{"id":"ITEM-5","itemData":{"DOI":"10.1016/j.apenergy.2016.05.090","ISSN":"03062619","abstract":"This paper presents a novel demand response estimation framework for residential and commercial buildings using a combination of EnergyPlus and two-state models for thermostatically controlled loads. Specifically, EnergyPlus models for commercial and multi-dwelling residential units are applied to construct exhaustive datasets (i.e., with more than 300M data points) that capture the detailed load response and complex thermodynamics of several building types. Subsequently, regression models are fit to each dataset to predict DR potential based on key inputs, including hour of day, set point change and outside air temperature. For single residential units, and residential thermostatically controlled loads (i.e. water heaters and refrigerators) a two-state model from the literature is applied. For commercial office building and Multiple Dwelling Units (MDUs) building, the fitted regression model can predict DR potential with 80-90% accuracy for more than 90% of data points. The coefficients of determination (i.e. R2 value) range between 0.54 and 0.78 for the office buildings and 0.39-0.81 for MDUs, respectively. The proposed framework is then validated for commercial buildings through a comparison with a dataset composed of 11 buildings during 12 demand response events. In addition, the use of the proposed simplified DR estimation framework is presented in terms of two cases (1) peak load shed prediction in an individual building and (2) aggregated DR up/down capacity from a large-scale group of different buildings.","author":[{"dropping-particle":"","family":"Yin","given":"Rongxin","non-dropping-particle":"","parse-names":false,"suffix":""},{"dropping-particle":"","family":"Kara","given":"Emre C.","non-dropping-particle":"","parse-names":false,"suffix":""},{"dropping-particle":"","family":"Li</w:instrText>
      </w:r>
      <w:r w:rsidR="006E1190" w:rsidRPr="000E5ADA">
        <w:rPr>
          <w:rFonts w:cs="Times New Roman"/>
          <w:lang w:val="nl-NL"/>
        </w:rPr>
        <w:instrText>","given":"Yaping","non-dropping-particle":"","parse-names":false,"suffix":""},{"dropping-particle":"","family":"DeForest","given":"Nicholas","non-dropping-particle":"","parse-names":false,"suffix":""},{"dropping-particle":"","family":"Wang","given":"Ke","non-dropping-particle":"","parse-names":false,"suffix":""},{"dropping-particle":"","family":"Yong","given":"Taiyou","non-dropping-particle":"","parse-names":false,"suffix":""},{"dropping-particle":"","family":"Stadler","given":"Michael","non-dropping-particle":"","parse-names":false,"suffix":""}],"container-title":"Applied Energy","id":"ITEM-5","issued":{"date-parts":[["2016"]]},"note":"NULL","page":"149-164","title":"Quantifying flexibility of commercial and residential loads for demand response using setpoint changes","type":"article-journal","volume":"177"},"uris":["http://www.mendeley.com/documents/?uuid=1b882dbe-33d2-4073-8ac7-e497d549a7d8"]}],"mendeley":{"formattedCitation":"(De Coninck &amp; Helsen, 2016; Klein, Herkel, Henning, &amp; Felsmann, 2017; Razmara et al., 2017; Weber, 2017; Yin et al., 2016)","plainTextFormattedCitation":"(De Coninck &amp; Helsen, 2016; Klein, Herkel, Henning, &amp; Felsmann, 2017; Razmara et al., 2017; Weber, 2017; Yin et al., 2016)","previouslyFormattedCitation":"(De Coninck &amp; Helsen, 2016; Klein, Herkel, Henning, &amp; Felsmann, 2017; Razmara et al., 2017; Weber, 2017; Yin et al., 2016)"},"properties":{"noteIndex":0},"schema":"https://github.com/citation-style-language/schema/raw/master/csl-citation.json"}</w:instrText>
      </w:r>
      <w:r w:rsidR="006E1190" w:rsidRPr="00814236">
        <w:rPr>
          <w:rFonts w:cs="Times New Roman"/>
        </w:rPr>
        <w:fldChar w:fldCharType="separate"/>
      </w:r>
      <w:r w:rsidR="006E1190" w:rsidRPr="000E5ADA">
        <w:rPr>
          <w:rFonts w:cs="Times New Roman"/>
          <w:noProof/>
          <w:lang w:val="nl-NL"/>
        </w:rPr>
        <w:t>(De Coninck &amp; Helsen, 2016; Klein, Herkel, Henning, &amp; Felsmann, 2017; Razmara et al., 2017; Weber, 2017; Yin et al., 2016)</w:t>
      </w:r>
      <w:r w:rsidR="006E1190" w:rsidRPr="00814236">
        <w:rPr>
          <w:rFonts w:cs="Times New Roman"/>
        </w:rPr>
        <w:fldChar w:fldCharType="end"/>
      </w:r>
      <w:r w:rsidRPr="000E5ADA">
        <w:rPr>
          <w:rFonts w:cs="Times New Roman"/>
          <w:lang w:val="nl-NL"/>
        </w:rPr>
        <w:t xml:space="preserve">. </w:t>
      </w:r>
      <w:r w:rsidRPr="00814236">
        <w:rPr>
          <w:rFonts w:cs="Times New Roman"/>
        </w:rPr>
        <w:t xml:space="preserve">Here, the common idea is that different parameters (e.g. temperature, airflow, cooling/heating power, etc.) can be changed to adapt the energy usage of technical installations in a building. </w:t>
      </w:r>
      <w:r w:rsidR="007A41DA" w:rsidRPr="00814236">
        <w:rPr>
          <w:rFonts w:cs="Times New Roman"/>
        </w:rPr>
        <w:t>While d</w:t>
      </w:r>
      <w:r w:rsidRPr="00814236">
        <w:rPr>
          <w:rFonts w:cs="Times New Roman"/>
        </w:rPr>
        <w:t xml:space="preserve">ifferent definitions of flexibility are proposed, </w:t>
      </w:r>
      <w:r w:rsidR="007A41DA" w:rsidRPr="00814236">
        <w:rPr>
          <w:rFonts w:cs="Times New Roman"/>
        </w:rPr>
        <w:t>it is</w:t>
      </w:r>
      <w:r w:rsidRPr="00814236">
        <w:rPr>
          <w:rFonts w:cs="Times New Roman"/>
        </w:rPr>
        <w:t xml:space="preserve"> quantified </w:t>
      </w:r>
      <w:r w:rsidR="007A41DA" w:rsidRPr="00814236">
        <w:rPr>
          <w:rFonts w:cs="Times New Roman"/>
        </w:rPr>
        <w:t xml:space="preserve">throughout the literature </w:t>
      </w:r>
      <w:r w:rsidRPr="00814236">
        <w:rPr>
          <w:rFonts w:cs="Times New Roman"/>
        </w:rPr>
        <w:t>as the ability of a system to lower or augment its power usage</w:t>
      </w:r>
      <w:r w:rsidR="007A41DA" w:rsidRPr="00814236">
        <w:rPr>
          <w:rFonts w:cs="Times New Roman"/>
        </w:rPr>
        <w:t xml:space="preserve"> that</w:t>
      </w:r>
      <w:r w:rsidRPr="00814236">
        <w:rPr>
          <w:rFonts w:cs="Times New Roman"/>
        </w:rPr>
        <w:t xml:space="preserve"> lead</w:t>
      </w:r>
      <w:r w:rsidR="007A41DA" w:rsidRPr="00814236">
        <w:rPr>
          <w:rFonts w:cs="Times New Roman"/>
        </w:rPr>
        <w:t>s</w:t>
      </w:r>
      <w:r w:rsidRPr="00814236">
        <w:rPr>
          <w:rFonts w:cs="Times New Roman"/>
        </w:rPr>
        <w:t xml:space="preserve"> to a change in energy consumption. </w:t>
      </w:r>
      <w:r w:rsidR="007A41DA" w:rsidRPr="00814236">
        <w:rPr>
          <w:rFonts w:cs="Times New Roman"/>
        </w:rPr>
        <w:t>However, t</w:t>
      </w:r>
      <w:r w:rsidRPr="00814236">
        <w:rPr>
          <w:rFonts w:cs="Times New Roman"/>
        </w:rPr>
        <w:t>he</w:t>
      </w:r>
      <w:r w:rsidR="007A41DA" w:rsidRPr="00814236">
        <w:rPr>
          <w:rFonts w:cs="Times New Roman"/>
        </w:rPr>
        <w:t xml:space="preserve"> various</w:t>
      </w:r>
      <w:r w:rsidRPr="00814236">
        <w:rPr>
          <w:rFonts w:cs="Times New Roman"/>
        </w:rPr>
        <w:t xml:space="preserve"> studies only quantify flexibility in technical terms</w:t>
      </w:r>
      <w:r w:rsidR="007A41DA" w:rsidRPr="00814236">
        <w:rPr>
          <w:rFonts w:cs="Times New Roman"/>
        </w:rPr>
        <w:t xml:space="preserve"> (</w:t>
      </w:r>
      <w:r w:rsidRPr="00814236">
        <w:rPr>
          <w:rFonts w:cs="Times New Roman"/>
        </w:rPr>
        <w:t xml:space="preserve">i.e. the change in power </w:t>
      </w:r>
      <w:r w:rsidR="00F6192A" w:rsidRPr="00814236">
        <w:rPr>
          <w:rFonts w:cs="Times New Roman"/>
        </w:rPr>
        <w:t>usage</w:t>
      </w:r>
      <w:r w:rsidR="007A41DA" w:rsidRPr="00814236">
        <w:rPr>
          <w:rFonts w:cs="Times New Roman"/>
        </w:rPr>
        <w:t>)</w:t>
      </w:r>
      <w:r w:rsidR="00B76547" w:rsidRPr="00814236">
        <w:rPr>
          <w:rFonts w:cs="Times New Roman"/>
        </w:rPr>
        <w:t xml:space="preserve"> and do not value flexibility in economic terms</w:t>
      </w:r>
      <w:r w:rsidRPr="00814236">
        <w:rPr>
          <w:rFonts w:cs="Times New Roman"/>
        </w:rPr>
        <w:t>.</w:t>
      </w:r>
      <w:r w:rsidR="00141F1C" w:rsidRPr="00814236">
        <w:rPr>
          <w:rFonts w:cs="Times New Roman"/>
        </w:rPr>
        <w:t xml:space="preserve"> </w:t>
      </w:r>
    </w:p>
    <w:p w14:paraId="48CF76DB" w14:textId="3ED9C7ED" w:rsidR="006F60D6" w:rsidRPr="00814236" w:rsidRDefault="007A41DA" w:rsidP="00141F1C">
      <w:pPr>
        <w:rPr>
          <w:rFonts w:cs="Times New Roman"/>
        </w:rPr>
      </w:pPr>
      <w:r w:rsidRPr="00814236">
        <w:rPr>
          <w:rFonts w:cs="Times New Roman"/>
        </w:rPr>
        <w:t>In fact, f</w:t>
      </w:r>
      <w:r w:rsidR="005D53A5" w:rsidRPr="00814236">
        <w:rPr>
          <w:rFonts w:cs="Times New Roman"/>
        </w:rPr>
        <w:t xml:space="preserve">lexibility could be a cure for imbalance </w:t>
      </w:r>
      <w:r w:rsidRPr="00814236">
        <w:rPr>
          <w:rFonts w:cs="Times New Roman"/>
        </w:rPr>
        <w:t>within</w:t>
      </w:r>
      <w:r w:rsidR="005D53A5" w:rsidRPr="00814236">
        <w:rPr>
          <w:rFonts w:cs="Times New Roman"/>
        </w:rPr>
        <w:t xml:space="preserve"> the net. </w:t>
      </w:r>
      <w:r w:rsidR="00B705AB" w:rsidRPr="00814236">
        <w:rPr>
          <w:rFonts w:cs="Times New Roman"/>
        </w:rPr>
        <w:t>When imbalance in the net occurs, t</w:t>
      </w:r>
      <w:r w:rsidR="006F60D6" w:rsidRPr="00814236">
        <w:rPr>
          <w:rFonts w:cs="Times New Roman"/>
        </w:rPr>
        <w:t xml:space="preserve">he last resort for buying energy to compensate </w:t>
      </w:r>
      <w:r w:rsidRPr="00814236">
        <w:rPr>
          <w:rFonts w:cs="Times New Roman"/>
        </w:rPr>
        <w:t xml:space="preserve">for </w:t>
      </w:r>
      <w:r w:rsidR="006F60D6" w:rsidRPr="00814236">
        <w:rPr>
          <w:rFonts w:cs="Times New Roman"/>
        </w:rPr>
        <w:t xml:space="preserve">the difference in supply and demand (imbalance) is </w:t>
      </w:r>
      <w:r w:rsidR="00B5633F" w:rsidRPr="00814236">
        <w:rPr>
          <w:rFonts w:cs="Times New Roman"/>
        </w:rPr>
        <w:t>an energy</w:t>
      </w:r>
      <w:r w:rsidR="006F60D6" w:rsidRPr="00814236">
        <w:rPr>
          <w:rFonts w:cs="Times New Roman"/>
        </w:rPr>
        <w:t xml:space="preserve"> imbalance market. </w:t>
      </w:r>
      <w:r w:rsidR="00B5633F" w:rsidRPr="00814236">
        <w:rPr>
          <w:rFonts w:cs="Times New Roman"/>
        </w:rPr>
        <w:t>I</w:t>
      </w:r>
      <w:r w:rsidR="006F60D6" w:rsidRPr="00814236">
        <w:rPr>
          <w:rFonts w:cs="Times New Roman"/>
        </w:rPr>
        <w:t>n this market</w:t>
      </w:r>
      <w:r w:rsidR="00B5633F" w:rsidRPr="00814236">
        <w:rPr>
          <w:rFonts w:cs="Times New Roman"/>
        </w:rPr>
        <w:t>,</w:t>
      </w:r>
      <w:r w:rsidR="006F60D6" w:rsidRPr="00814236">
        <w:rPr>
          <w:rFonts w:cs="Times New Roman"/>
        </w:rPr>
        <w:t xml:space="preserve"> power can be bought to adjust the power usage </w:t>
      </w:r>
      <w:r w:rsidR="00B705AB" w:rsidRPr="00814236">
        <w:rPr>
          <w:rFonts w:cs="Times New Roman"/>
        </w:rPr>
        <w:t xml:space="preserve">profile </w:t>
      </w:r>
      <w:r w:rsidR="00B76547" w:rsidRPr="00814236">
        <w:rPr>
          <w:rFonts w:cs="Times New Roman"/>
        </w:rPr>
        <w:t>in real</w:t>
      </w:r>
      <w:r w:rsidR="00B5633F" w:rsidRPr="00814236">
        <w:rPr>
          <w:rFonts w:cs="Times New Roman"/>
        </w:rPr>
        <w:t xml:space="preserve"> </w:t>
      </w:r>
      <w:r w:rsidR="00B76547" w:rsidRPr="00814236">
        <w:rPr>
          <w:rFonts w:cs="Times New Roman"/>
        </w:rPr>
        <w:t xml:space="preserve">time </w:t>
      </w:r>
      <w:r w:rsidR="00B705AB" w:rsidRPr="00814236">
        <w:rPr>
          <w:rFonts w:cs="Times New Roman"/>
        </w:rPr>
        <w:t>and restore balance</w:t>
      </w:r>
      <w:r w:rsidR="006F60D6" w:rsidRPr="00814236">
        <w:rPr>
          <w:rFonts w:cs="Times New Roman"/>
        </w:rPr>
        <w:t xml:space="preserve">. </w:t>
      </w:r>
      <w:r w:rsidR="00B705AB" w:rsidRPr="00814236">
        <w:rPr>
          <w:rFonts w:cs="Times New Roman"/>
        </w:rPr>
        <w:t>Every</w:t>
      </w:r>
      <w:r w:rsidR="004A3156" w:rsidRPr="00814236">
        <w:rPr>
          <w:rFonts w:cs="Times New Roman"/>
        </w:rPr>
        <w:t xml:space="preserve"> </w:t>
      </w:r>
      <w:r w:rsidR="00B5633F" w:rsidRPr="00814236">
        <w:rPr>
          <w:rFonts w:cs="Times New Roman"/>
        </w:rPr>
        <w:t xml:space="preserve">balance responsible party </w:t>
      </w:r>
      <w:r w:rsidR="004A3156" w:rsidRPr="00814236">
        <w:rPr>
          <w:rFonts w:cs="Times New Roman"/>
        </w:rPr>
        <w:t>has the obligation to keep supply and demand in equilibrium</w:t>
      </w:r>
      <w:r w:rsidR="00B705AB" w:rsidRPr="00814236">
        <w:rPr>
          <w:rFonts w:cs="Times New Roman"/>
        </w:rPr>
        <w:t xml:space="preserve"> for its portfolio</w:t>
      </w:r>
      <w:r w:rsidR="004A3156" w:rsidRPr="00814236">
        <w:rPr>
          <w:rFonts w:cs="Times New Roman"/>
        </w:rPr>
        <w:t xml:space="preserve">. The </w:t>
      </w:r>
      <w:r w:rsidR="00B5633F" w:rsidRPr="00814236">
        <w:rPr>
          <w:rFonts w:cs="Times New Roman"/>
        </w:rPr>
        <w:t xml:space="preserve">energy </w:t>
      </w:r>
      <w:r w:rsidR="004A3156" w:rsidRPr="00814236">
        <w:rPr>
          <w:rFonts w:cs="Times New Roman"/>
        </w:rPr>
        <w:t>imbalance market is the last mean</w:t>
      </w:r>
      <w:r w:rsidR="00B76547" w:rsidRPr="00814236">
        <w:rPr>
          <w:rFonts w:cs="Times New Roman"/>
        </w:rPr>
        <w:t>s</w:t>
      </w:r>
      <w:r w:rsidR="004A3156" w:rsidRPr="00814236">
        <w:rPr>
          <w:rFonts w:cs="Times New Roman"/>
        </w:rPr>
        <w:t xml:space="preserve"> to achieve this</w:t>
      </w:r>
      <w:r w:rsidR="00B705AB" w:rsidRPr="00814236">
        <w:rPr>
          <w:rFonts w:cs="Times New Roman"/>
        </w:rPr>
        <w:t xml:space="preserve"> without the </w:t>
      </w:r>
      <w:r w:rsidR="00B5633F" w:rsidRPr="00814236">
        <w:rPr>
          <w:rFonts w:cs="Times New Roman"/>
        </w:rPr>
        <w:t xml:space="preserve">intervention of the </w:t>
      </w:r>
      <w:r w:rsidR="00B705AB" w:rsidRPr="00814236">
        <w:rPr>
          <w:rFonts w:cs="Times New Roman"/>
        </w:rPr>
        <w:t>TSO</w:t>
      </w:r>
      <w:r w:rsidR="004A3156" w:rsidRPr="00814236">
        <w:rPr>
          <w:rFonts w:cs="Times New Roman"/>
        </w:rPr>
        <w:t xml:space="preserve">. </w:t>
      </w:r>
      <w:r w:rsidR="00B5633F" w:rsidRPr="00814236">
        <w:rPr>
          <w:rFonts w:cs="Times New Roman"/>
        </w:rPr>
        <w:t xml:space="preserve">Given </w:t>
      </w:r>
      <w:r w:rsidR="004A3156" w:rsidRPr="00814236">
        <w:rPr>
          <w:rFonts w:cs="Times New Roman"/>
        </w:rPr>
        <w:t xml:space="preserve">the real-time character of the market, </w:t>
      </w:r>
      <w:r w:rsidR="00B5633F" w:rsidRPr="00814236">
        <w:rPr>
          <w:rFonts w:cs="Times New Roman"/>
        </w:rPr>
        <w:t xml:space="preserve">the </w:t>
      </w:r>
      <w:r w:rsidR="004A3156" w:rsidRPr="00814236">
        <w:rPr>
          <w:rFonts w:cs="Times New Roman"/>
        </w:rPr>
        <w:t xml:space="preserve">energy traded is </w:t>
      </w:r>
      <w:r w:rsidR="00B5633F" w:rsidRPr="00814236">
        <w:rPr>
          <w:rFonts w:cs="Times New Roman"/>
        </w:rPr>
        <w:t>extremely</w:t>
      </w:r>
      <w:r w:rsidR="004A3156" w:rsidRPr="00814236">
        <w:rPr>
          <w:rFonts w:cs="Times New Roman"/>
        </w:rPr>
        <w:t xml:space="preserve"> costly and can be </w:t>
      </w:r>
      <w:r w:rsidR="00B5633F" w:rsidRPr="00814236">
        <w:rPr>
          <w:rFonts w:cs="Times New Roman"/>
        </w:rPr>
        <w:t xml:space="preserve">many times </w:t>
      </w:r>
      <w:r w:rsidR="004A3156" w:rsidRPr="00814236">
        <w:rPr>
          <w:rFonts w:cs="Times New Roman"/>
        </w:rPr>
        <w:t>the energy cost on the regular markets (future and day-ahead market</w:t>
      </w:r>
      <w:r w:rsidR="00B5633F" w:rsidRPr="00814236">
        <w:rPr>
          <w:rFonts w:cs="Times New Roman"/>
        </w:rPr>
        <w:t>s</w:t>
      </w:r>
      <w:r w:rsidR="004A3156" w:rsidRPr="00814236">
        <w:rPr>
          <w:rFonts w:cs="Times New Roman"/>
        </w:rPr>
        <w:t>).</w:t>
      </w:r>
      <w:r w:rsidR="00141F1C" w:rsidRPr="00814236">
        <w:rPr>
          <w:rFonts w:cs="Times New Roman"/>
        </w:rPr>
        <w:t xml:space="preserve"> </w:t>
      </w:r>
    </w:p>
    <w:p w14:paraId="64034E49" w14:textId="202BEF2B" w:rsidR="00687BA6" w:rsidRPr="00814236" w:rsidRDefault="00687BA6" w:rsidP="00141F1C">
      <w:pPr>
        <w:rPr>
          <w:rFonts w:cs="Times New Roman"/>
        </w:rPr>
      </w:pPr>
      <w:r w:rsidRPr="00814236">
        <w:rPr>
          <w:rFonts w:cs="Times New Roman"/>
        </w:rPr>
        <w:t xml:space="preserve">The EMPC designs in Ma et al. </w:t>
      </w:r>
      <w:r w:rsidRPr="00814236">
        <w:rPr>
          <w:rFonts w:cs="Times New Roman"/>
        </w:rPr>
        <w:fldChar w:fldCharType="begin" w:fldLock="1"/>
      </w:r>
      <w:r w:rsidR="006E1190" w:rsidRPr="00814236">
        <w:rPr>
          <w:rFonts w:cs="Times New Roman"/>
        </w:rPr>
        <w:instrText>ADDIN CSL_CITATION {"citationItems":[{"id":"ITEM-1","itemData":{"DOI":"10.1016/j.ces.2011.07.052","abstract":"This paper proposes and demonstrates the effectiveness of an economic model predictive control (MPC) technique in reducing energy and demand costs for building heating, ventilating, and air conditioning (HVAC) systems. A simulated multi-zone commercial building equipped with of variable air volume (VAV) cooling system is built in Energyplus. With the introduced Building Controls Virtual Test Bed (BCVTB) as middleware, real-time data exchange between Energyplus and a Matlab controller is realized by sending and receiving sockets. System identification is performed to obtain zone temperature and power models, which are used in the MPC framework. The economic objective function in MPC accounts for the daily electricity costs, which include time-of-use (TOU) energy charge and demand charge. In each time step, a min-max optimization is formulated and converted into a linear programming problem and solved. In a weekly simulation, a pre-cooling effect during off-peak period and a cooling discharge from the building thermal mass during on-peak period can be observed. Cost savings by MPC are estimated by comparing with the baseline and other open-loop control strategies. The effect of several experimental factors in the MPC configuration is investigated and the best scenario is selected for future practical tests.","author":[{"dropping-particle":"","family":"Ma","given":"Jingran","non-dropping-particle":"","parse-names":false,"suffix":""},{"dropping-particle":"","family":"Qin","given":"Joe","non-dropping-particle":"","parse-names":false,"suffix":""},{"dropping-particle":"","family":"Salsbury","given":"Timothy","non-dropping-particle":"","parse-names":false,"suffix":""},{"dropping-particle":"","family":"Xu","given":"Peng","non-dropping-particle":"","parse-names":false,"suffix":""}],"id":"ITEM-1","issued":{"date-parts":[["2011"]]},"title":"Demand reduction in building energy systems based on economic model predictive control","type":"article-journal"},"suppress-author":1,"uris":["http://www.mendeley.com/documents/?uuid=70bce8de-c5aa-3b40-8e74-4f050dc1ad24"]}],"mendeley":{"formattedCitation":"(2011)","plainTextFormattedCitation":"(2011)","previouslyFormattedCitation":"(2011)"},"properties":{"noteIndex":0},"schema":"https://github.com/citation-style-language/schema/raw/master/csl-citation.json"}</w:instrText>
      </w:r>
      <w:r w:rsidRPr="00814236">
        <w:rPr>
          <w:rFonts w:cs="Times New Roman"/>
        </w:rPr>
        <w:fldChar w:fldCharType="separate"/>
      </w:r>
      <w:r w:rsidR="006E1190" w:rsidRPr="00814236">
        <w:rPr>
          <w:rFonts w:cs="Times New Roman"/>
          <w:noProof/>
        </w:rPr>
        <w:t>(2011)</w:t>
      </w:r>
      <w:r w:rsidRPr="00814236">
        <w:rPr>
          <w:rFonts w:cs="Times New Roman"/>
        </w:rPr>
        <w:fldChar w:fldCharType="end"/>
      </w:r>
      <w:r w:rsidRPr="00814236">
        <w:rPr>
          <w:rFonts w:cs="Times New Roman"/>
        </w:rPr>
        <w:t xml:space="preserve"> do not consider the option to sell flexibility </w:t>
      </w:r>
      <w:r w:rsidR="006C0DC1" w:rsidRPr="00814236">
        <w:rPr>
          <w:rFonts w:cs="Times New Roman"/>
        </w:rPr>
        <w:t xml:space="preserve">on </w:t>
      </w:r>
      <w:r w:rsidR="00B528A4" w:rsidRPr="00814236">
        <w:rPr>
          <w:rFonts w:cs="Times New Roman"/>
        </w:rPr>
        <w:t>the</w:t>
      </w:r>
      <w:r w:rsidR="006C0DC1" w:rsidRPr="00814236">
        <w:rPr>
          <w:rFonts w:cs="Times New Roman"/>
        </w:rPr>
        <w:t xml:space="preserve"> imbalance market</w:t>
      </w:r>
      <w:r w:rsidR="00B528A4" w:rsidRPr="00814236">
        <w:rPr>
          <w:rFonts w:cs="Times New Roman"/>
        </w:rPr>
        <w:t xml:space="preserve">. The </w:t>
      </w:r>
      <w:r w:rsidRPr="00814236">
        <w:rPr>
          <w:rFonts w:cs="Times New Roman"/>
        </w:rPr>
        <w:t xml:space="preserve">optimisation is in the energy cost </w:t>
      </w:r>
      <w:r w:rsidR="00B528A4" w:rsidRPr="00814236">
        <w:rPr>
          <w:rFonts w:cs="Times New Roman"/>
        </w:rPr>
        <w:t>minimisation achieved by</w:t>
      </w:r>
      <w:r w:rsidRPr="00814236">
        <w:rPr>
          <w:rFonts w:cs="Times New Roman"/>
        </w:rPr>
        <w:t xml:space="preserve"> the</w:t>
      </w:r>
      <w:r w:rsidR="00B528A4" w:rsidRPr="00814236">
        <w:rPr>
          <w:rFonts w:cs="Times New Roman"/>
        </w:rPr>
        <w:t xml:space="preserve"> </w:t>
      </w:r>
      <w:r w:rsidRPr="00814236">
        <w:rPr>
          <w:rFonts w:cs="Times New Roman"/>
        </w:rPr>
        <w:t xml:space="preserve">setpoint choice. Selling flexibility </w:t>
      </w:r>
      <w:r w:rsidR="00B528A4" w:rsidRPr="00814236">
        <w:rPr>
          <w:rFonts w:cs="Times New Roman"/>
        </w:rPr>
        <w:t>on an imbalance market</w:t>
      </w:r>
      <w:r w:rsidRPr="00814236">
        <w:rPr>
          <w:rFonts w:cs="Times New Roman"/>
        </w:rPr>
        <w:t xml:space="preserve"> would be a significant source of revenue. In practice, </w:t>
      </w:r>
      <w:r w:rsidR="00B528A4" w:rsidRPr="00814236">
        <w:rPr>
          <w:rFonts w:cs="Times New Roman"/>
        </w:rPr>
        <w:t xml:space="preserve">for a hot water heating system, </w:t>
      </w:r>
      <w:r w:rsidRPr="00814236">
        <w:rPr>
          <w:rFonts w:cs="Times New Roman"/>
        </w:rPr>
        <w:t xml:space="preserve">flexibility is </w:t>
      </w:r>
      <w:r w:rsidR="00B528A4" w:rsidRPr="00814236">
        <w:rPr>
          <w:rFonts w:cs="Times New Roman"/>
        </w:rPr>
        <w:t xml:space="preserve">found </w:t>
      </w:r>
      <w:r w:rsidRPr="00814236">
        <w:rPr>
          <w:rFonts w:cs="Times New Roman"/>
        </w:rPr>
        <w:t>in the change of the setpoint</w:t>
      </w:r>
      <w:r w:rsidR="00B528A4" w:rsidRPr="00814236">
        <w:rPr>
          <w:rFonts w:cs="Times New Roman"/>
        </w:rPr>
        <w:t>.</w:t>
      </w:r>
      <w:r w:rsidR="00141F1C" w:rsidRPr="00814236">
        <w:rPr>
          <w:rFonts w:cs="Times New Roman"/>
        </w:rPr>
        <w:t xml:space="preserve"> </w:t>
      </w:r>
      <w:r w:rsidR="00B528A4" w:rsidRPr="00814236">
        <w:rPr>
          <w:rFonts w:cs="Times New Roman"/>
        </w:rPr>
        <w:t xml:space="preserve">A higher setpoint temperature would </w:t>
      </w:r>
      <w:r w:rsidRPr="00814236">
        <w:rPr>
          <w:rFonts w:cs="Times New Roman"/>
        </w:rPr>
        <w:t xml:space="preserve">lead to an </w:t>
      </w:r>
      <w:r w:rsidRPr="00814236">
        <w:rPr>
          <w:rFonts w:cs="Times New Roman"/>
        </w:rPr>
        <w:lastRenderedPageBreak/>
        <w:t>increase in power consumption</w:t>
      </w:r>
      <w:r w:rsidR="00B528A4" w:rsidRPr="00814236">
        <w:rPr>
          <w:rFonts w:cs="Times New Roman"/>
        </w:rPr>
        <w:t xml:space="preserve"> and is </w:t>
      </w:r>
      <w:r w:rsidR="00B5633F" w:rsidRPr="00814236">
        <w:rPr>
          <w:rFonts w:cs="Times New Roman"/>
        </w:rPr>
        <w:t xml:space="preserve">desirable </w:t>
      </w:r>
      <w:r w:rsidRPr="00814236">
        <w:rPr>
          <w:rFonts w:cs="Times New Roman"/>
        </w:rPr>
        <w:t xml:space="preserve">in cases of excess energy </w:t>
      </w:r>
      <w:r w:rsidR="00B5633F" w:rsidRPr="00814236">
        <w:rPr>
          <w:rFonts w:cs="Times New Roman"/>
        </w:rPr>
        <w:t>with</w:t>
      </w:r>
      <w:r w:rsidRPr="00814236">
        <w:rPr>
          <w:rFonts w:cs="Times New Roman"/>
        </w:rPr>
        <w:t>in the net</w:t>
      </w:r>
      <w:r w:rsidR="00B528A4" w:rsidRPr="00814236">
        <w:rPr>
          <w:rFonts w:cs="Times New Roman"/>
        </w:rPr>
        <w:t xml:space="preserve">. </w:t>
      </w:r>
      <w:r w:rsidR="00B5633F" w:rsidRPr="00814236">
        <w:rPr>
          <w:rFonts w:cs="Times New Roman"/>
        </w:rPr>
        <w:t>Meanwhile, a</w:t>
      </w:r>
      <w:r w:rsidR="00B528A4" w:rsidRPr="00814236">
        <w:rPr>
          <w:rFonts w:cs="Times New Roman"/>
        </w:rPr>
        <w:t xml:space="preserve"> lower setpoint temperature would result in </w:t>
      </w:r>
      <w:r w:rsidRPr="00814236">
        <w:rPr>
          <w:rFonts w:cs="Times New Roman"/>
        </w:rPr>
        <w:t xml:space="preserve">a postponed energy consumption </w:t>
      </w:r>
      <w:r w:rsidR="00B528A4" w:rsidRPr="00814236">
        <w:rPr>
          <w:rFonts w:cs="Times New Roman"/>
        </w:rPr>
        <w:t xml:space="preserve">and would be appreciated </w:t>
      </w:r>
      <w:r w:rsidRPr="00814236">
        <w:rPr>
          <w:rFonts w:cs="Times New Roman"/>
        </w:rPr>
        <w:t xml:space="preserve">in cases of energy shortages </w:t>
      </w:r>
      <w:r w:rsidR="00B5633F" w:rsidRPr="00814236">
        <w:rPr>
          <w:rFonts w:cs="Times New Roman"/>
        </w:rPr>
        <w:t>with</w:t>
      </w:r>
      <w:r w:rsidRPr="00814236">
        <w:rPr>
          <w:rFonts w:cs="Times New Roman"/>
        </w:rPr>
        <w:t xml:space="preserve">in the net. We consider the possible revenue from changing </w:t>
      </w:r>
      <w:r w:rsidR="00B528A4" w:rsidRPr="00814236">
        <w:rPr>
          <w:rFonts w:cs="Times New Roman"/>
        </w:rPr>
        <w:t>the</w:t>
      </w:r>
      <w:r w:rsidRPr="00814236">
        <w:rPr>
          <w:rFonts w:cs="Times New Roman"/>
        </w:rPr>
        <w:t xml:space="preserve"> setpoint temperature</w:t>
      </w:r>
      <w:r w:rsidR="00B528A4" w:rsidRPr="00814236">
        <w:rPr>
          <w:rFonts w:cs="Times New Roman"/>
        </w:rPr>
        <w:t xml:space="preserve"> </w:t>
      </w:r>
      <w:r w:rsidRPr="00814236">
        <w:rPr>
          <w:rFonts w:cs="Times New Roman"/>
        </w:rPr>
        <w:t xml:space="preserve">and being compensated for that </w:t>
      </w:r>
      <w:r w:rsidR="00B528A4" w:rsidRPr="00814236">
        <w:rPr>
          <w:rFonts w:cs="Times New Roman"/>
        </w:rPr>
        <w:t>change</w:t>
      </w:r>
      <w:r w:rsidRPr="00814236">
        <w:rPr>
          <w:rFonts w:cs="Times New Roman"/>
        </w:rPr>
        <w:t xml:space="preserve"> at the rate of the imbalance pricing. </w:t>
      </w:r>
    </w:p>
    <w:p w14:paraId="2D2D2F5F" w14:textId="6A9C08D9" w:rsidR="00FD64A6" w:rsidRPr="00814236" w:rsidRDefault="00645899" w:rsidP="00141F1C">
      <w:pPr>
        <w:rPr>
          <w:rFonts w:cs="Times New Roman"/>
        </w:rPr>
      </w:pPr>
      <w:r w:rsidRPr="00814236">
        <w:rPr>
          <w:rFonts w:cs="Times New Roman"/>
        </w:rPr>
        <w:t xml:space="preserve">In their research, </w:t>
      </w:r>
      <w:proofErr w:type="spellStart"/>
      <w:r w:rsidR="00687BA6" w:rsidRPr="00814236">
        <w:rPr>
          <w:rFonts w:cs="Times New Roman"/>
        </w:rPr>
        <w:t>Kepplinger</w:t>
      </w:r>
      <w:proofErr w:type="spellEnd"/>
      <w:r w:rsidR="00687BA6" w:rsidRPr="00814236">
        <w:rPr>
          <w:rFonts w:cs="Times New Roman"/>
        </w:rPr>
        <w:t xml:space="preserve"> et al. </w:t>
      </w:r>
      <w:r w:rsidR="00687BA6" w:rsidRPr="00814236">
        <w:rPr>
          <w:rFonts w:cs="Times New Roman"/>
        </w:rPr>
        <w:fldChar w:fldCharType="begin" w:fldLock="1"/>
      </w:r>
      <w:r w:rsidR="006E1190" w:rsidRPr="00814236">
        <w:rPr>
          <w:rFonts w:cs="Times New Roman"/>
        </w:rPr>
        <w:instrText>ADDIN CSL_CITATION {"citationItems":[{"id":"ITEM-1","itemData":{"DOI":"10.1016/J.ENBUILD.2014.12.016","ISSN":"0378-7788","abstract":"Electric domestic hot water heaters are well suited for demand side management, as they possess high nominal power ratings combined with large thermal buffer capacities. In this paper, their potential for demand side management via pseudo cost functions is studied. A fully mixed thermal model of the water heater is used to formulate the optimization problem as a binary integer program, whereas a multi-layer model is used to simulate actual system behavior. The current approach requires only one-way communication of a pseudo cost function, which may depend upon factors such as expected electricity prices, local grid load, and expected renewable electricity production. An optimal heating strategy is then determined on-site based on the expected demand and the pseudo cost function. The expected demand is found via a nearest-neighbor data-mining algorithm using historic data. The optimization algorithm is used in conjunction with long-term simulations assuming different user behavior patterns and optimization strategies. The current approach compares favorably with conventional night tariff-switched operation. Assuming typical user behavior and using real spot market electricity prices as the pseudo cost function leads to cost savings of approximately 12% and energy savings of approximately 4%. Higher energy savings of approximately 12% can be attained by setting the pseudo cost function constant resulting in energy-driven optimization.","author":[{"dropping-particle":"","family":"Kepplinger","given":"Peter","non-dropping-particle":"","parse-names":false,"suffix":""},{"dropping-particle":"","family":"Huber","given":"Gerhard","non-dropping-particle":"","parse-names":false,"suffix":""},{"dropping-particle":"","family":"Petrasch","given":"Jörg","non-dropping-particle":"","parse-names":false,"suffix":""}],"container-title":"Energy and Buildings","id":"ITEM-1","issued":{"date-parts":[["2015","8","1"]]},"page":"50-55","publisher":"Elsevier","title":"Autonomous optimal control for demand side management with resistive domestic hot water heaters using linear optimization","type":"article-journal","volume":"100"},"suppress-author":1,"uris":["http://www.mendeley.com/documents/?uuid=017006f1-80bb-3013-9543-86a2bb742014"]}],"mendeley":{"formattedCitation":"(2015)","plainTextFormattedCitation":"(2015)","previouslyFormattedCitation":"(2015)"},"properties":{"noteIndex":0},"schema":"https://github.com/citation-style-language/schema/raw/master/csl-citation.json"}</w:instrText>
      </w:r>
      <w:r w:rsidR="00687BA6" w:rsidRPr="00814236">
        <w:rPr>
          <w:rFonts w:cs="Times New Roman"/>
        </w:rPr>
        <w:fldChar w:fldCharType="separate"/>
      </w:r>
      <w:r w:rsidR="006E1190" w:rsidRPr="00814236">
        <w:rPr>
          <w:rFonts w:cs="Times New Roman"/>
          <w:noProof/>
        </w:rPr>
        <w:t>(2015)</w:t>
      </w:r>
      <w:r w:rsidR="00687BA6" w:rsidRPr="00814236">
        <w:rPr>
          <w:rFonts w:cs="Times New Roman"/>
        </w:rPr>
        <w:fldChar w:fldCharType="end"/>
      </w:r>
      <w:r w:rsidR="00687BA6" w:rsidRPr="00814236">
        <w:rPr>
          <w:rFonts w:cs="Times New Roman"/>
        </w:rPr>
        <w:t xml:space="preserve"> focused on the optimal control for </w:t>
      </w:r>
      <w:r w:rsidR="004C25DF" w:rsidRPr="00814236">
        <w:rPr>
          <w:rFonts w:cs="Times New Roman"/>
        </w:rPr>
        <w:t>demand response</w:t>
      </w:r>
      <w:r w:rsidR="00687BA6" w:rsidRPr="00814236">
        <w:rPr>
          <w:rFonts w:cs="Times New Roman"/>
        </w:rPr>
        <w:t xml:space="preserve"> for domestic hot water heaters. A linear optim</w:t>
      </w:r>
      <w:r w:rsidR="00E927FA" w:rsidRPr="00814236">
        <w:rPr>
          <w:rFonts w:cs="Times New Roman"/>
        </w:rPr>
        <w:t>is</w:t>
      </w:r>
      <w:r w:rsidR="00687BA6" w:rsidRPr="00814236">
        <w:rPr>
          <w:rFonts w:cs="Times New Roman"/>
        </w:rPr>
        <w:t>ation strategy was determined and applied to domestic hot water heaters. In the optim</w:t>
      </w:r>
      <w:r w:rsidR="00E927FA" w:rsidRPr="00814236">
        <w:rPr>
          <w:rFonts w:cs="Times New Roman"/>
        </w:rPr>
        <w:t>is</w:t>
      </w:r>
      <w:r w:rsidR="00687BA6" w:rsidRPr="00814236">
        <w:rPr>
          <w:rFonts w:cs="Times New Roman"/>
        </w:rPr>
        <w:t>ation, the day</w:t>
      </w:r>
      <w:r w:rsidRPr="00814236">
        <w:rPr>
          <w:rFonts w:cs="Times New Roman"/>
        </w:rPr>
        <w:t>-</w:t>
      </w:r>
      <w:r w:rsidR="00687BA6" w:rsidRPr="00814236">
        <w:rPr>
          <w:rFonts w:cs="Times New Roman"/>
        </w:rPr>
        <w:t xml:space="preserve">ahead pricing was taken into account to plan ahead </w:t>
      </w:r>
      <w:r w:rsidRPr="00814236">
        <w:rPr>
          <w:rFonts w:cs="Times New Roman"/>
        </w:rPr>
        <w:t xml:space="preserve">for </w:t>
      </w:r>
      <w:r w:rsidR="00687BA6" w:rsidRPr="00814236">
        <w:rPr>
          <w:rFonts w:cs="Times New Roman"/>
        </w:rPr>
        <w:t>the consumption of the heater. The consumption was controlled by changing the setpoint of the controller. In the objective function</w:t>
      </w:r>
      <w:r w:rsidRPr="00814236">
        <w:rPr>
          <w:rFonts w:cs="Times New Roman"/>
        </w:rPr>
        <w:t>,</w:t>
      </w:r>
      <w:r w:rsidR="00687BA6" w:rsidRPr="00814236">
        <w:rPr>
          <w:rFonts w:cs="Times New Roman"/>
        </w:rPr>
        <w:t xml:space="preserve"> an optim</w:t>
      </w:r>
      <w:r w:rsidR="00E927FA" w:rsidRPr="00814236">
        <w:rPr>
          <w:rFonts w:cs="Times New Roman"/>
        </w:rPr>
        <w:t>is</w:t>
      </w:r>
      <w:r w:rsidR="00687BA6" w:rsidRPr="00814236">
        <w:rPr>
          <w:rFonts w:cs="Times New Roman"/>
        </w:rPr>
        <w:t xml:space="preserve">ation was </w:t>
      </w:r>
      <w:r w:rsidRPr="00814236">
        <w:rPr>
          <w:rFonts w:cs="Times New Roman"/>
        </w:rPr>
        <w:t xml:space="preserve">conducted in terms of </w:t>
      </w:r>
      <w:r w:rsidR="00687BA6" w:rsidRPr="00814236">
        <w:rPr>
          <w:rFonts w:cs="Times New Roman"/>
        </w:rPr>
        <w:t xml:space="preserve">energy usage and cost. </w:t>
      </w:r>
      <w:r w:rsidRPr="00814236">
        <w:rPr>
          <w:rFonts w:cs="Times New Roman"/>
        </w:rPr>
        <w:t xml:space="preserve">However, the authors </w:t>
      </w:r>
      <w:r w:rsidR="00687BA6" w:rsidRPr="00814236">
        <w:rPr>
          <w:rFonts w:cs="Times New Roman"/>
        </w:rPr>
        <w:t xml:space="preserve">ignored the real-time market and the </w:t>
      </w:r>
      <w:r w:rsidRPr="00814236">
        <w:rPr>
          <w:rFonts w:cs="Times New Roman"/>
        </w:rPr>
        <w:t xml:space="preserve">hidden </w:t>
      </w:r>
      <w:r w:rsidR="00687BA6" w:rsidRPr="00814236">
        <w:rPr>
          <w:rFonts w:cs="Times New Roman"/>
        </w:rPr>
        <w:t xml:space="preserve">economic potential </w:t>
      </w:r>
      <w:r w:rsidR="00FD64A6" w:rsidRPr="00814236">
        <w:rPr>
          <w:rFonts w:cs="Times New Roman"/>
        </w:rPr>
        <w:t>in selling flexibility and optim</w:t>
      </w:r>
      <w:r w:rsidR="00E927FA" w:rsidRPr="00814236">
        <w:rPr>
          <w:rFonts w:cs="Times New Roman"/>
        </w:rPr>
        <w:t>is</w:t>
      </w:r>
      <w:r w:rsidR="00FD64A6" w:rsidRPr="00814236">
        <w:rPr>
          <w:rFonts w:cs="Times New Roman"/>
        </w:rPr>
        <w:t>ing for that</w:t>
      </w:r>
      <w:r w:rsidR="00687BA6" w:rsidRPr="00814236">
        <w:rPr>
          <w:rFonts w:cs="Times New Roman"/>
        </w:rPr>
        <w:t xml:space="preserve">. </w:t>
      </w:r>
    </w:p>
    <w:p w14:paraId="060DA5BD" w14:textId="72317F35" w:rsidR="009B06E0" w:rsidRPr="00814236" w:rsidRDefault="004A3156" w:rsidP="00141F1C">
      <w:pPr>
        <w:rPr>
          <w:rFonts w:cs="Times New Roman"/>
        </w:rPr>
      </w:pPr>
      <w:r w:rsidRPr="00814236">
        <w:rPr>
          <w:rFonts w:cs="Times New Roman"/>
        </w:rPr>
        <w:t>To optim</w:t>
      </w:r>
      <w:r w:rsidR="00E927FA" w:rsidRPr="00814236">
        <w:rPr>
          <w:rFonts w:cs="Times New Roman"/>
        </w:rPr>
        <w:t>is</w:t>
      </w:r>
      <w:r w:rsidRPr="00814236">
        <w:rPr>
          <w:rFonts w:cs="Times New Roman"/>
        </w:rPr>
        <w:t xml:space="preserve">e the amount of flexibility without interfering with the user’s activities, </w:t>
      </w:r>
      <w:r w:rsidR="00FD64A6" w:rsidRPr="00814236">
        <w:rPr>
          <w:rFonts w:cs="Times New Roman"/>
        </w:rPr>
        <w:t>there is a</w:t>
      </w:r>
      <w:r w:rsidRPr="00814236">
        <w:rPr>
          <w:rFonts w:cs="Times New Roman"/>
        </w:rPr>
        <w:t xml:space="preserve"> need to know the current and future usage of the technical installation. This information is taken into account while optim</w:t>
      </w:r>
      <w:r w:rsidR="00E927FA" w:rsidRPr="00814236">
        <w:rPr>
          <w:rFonts w:cs="Times New Roman"/>
        </w:rPr>
        <w:t>is</w:t>
      </w:r>
      <w:r w:rsidRPr="00814236">
        <w:rPr>
          <w:rFonts w:cs="Times New Roman"/>
        </w:rPr>
        <w:t>ing for maximal flexibility within defined boundaries. Next to the usage of the technical installation</w:t>
      </w:r>
      <w:r w:rsidR="00FD64A6" w:rsidRPr="00814236">
        <w:rPr>
          <w:rFonts w:cs="Times New Roman"/>
        </w:rPr>
        <w:t xml:space="preserve"> (omitting the influence on the building’s user</w:t>
      </w:r>
      <w:r w:rsidR="00F910D1">
        <w:rPr>
          <w:rFonts w:cs="Times New Roman"/>
        </w:rPr>
        <w:t>s</w:t>
      </w:r>
      <w:r w:rsidR="00FD64A6" w:rsidRPr="00814236">
        <w:rPr>
          <w:rFonts w:cs="Times New Roman"/>
        </w:rPr>
        <w:t>)</w:t>
      </w:r>
      <w:r w:rsidRPr="00814236">
        <w:rPr>
          <w:rFonts w:cs="Times New Roman"/>
        </w:rPr>
        <w:t xml:space="preserve">, the state of the transmission net </w:t>
      </w:r>
      <w:r w:rsidR="000E7E05" w:rsidRPr="00814236">
        <w:rPr>
          <w:rFonts w:cs="Times New Roman"/>
        </w:rPr>
        <w:t>should be part of</w:t>
      </w:r>
      <w:r w:rsidRPr="00814236">
        <w:rPr>
          <w:rFonts w:cs="Times New Roman"/>
        </w:rPr>
        <w:t xml:space="preserve"> the optim</w:t>
      </w:r>
      <w:r w:rsidR="00E927FA" w:rsidRPr="00814236">
        <w:rPr>
          <w:rFonts w:cs="Times New Roman"/>
        </w:rPr>
        <w:t>is</w:t>
      </w:r>
      <w:r w:rsidRPr="00814236">
        <w:rPr>
          <w:rFonts w:cs="Times New Roman"/>
        </w:rPr>
        <w:t xml:space="preserve">ation. </w:t>
      </w:r>
      <w:r w:rsidR="007E2749" w:rsidRPr="00814236">
        <w:rPr>
          <w:rFonts w:cs="Times New Roman"/>
        </w:rPr>
        <w:t>The transmission grid</w:t>
      </w:r>
      <w:r w:rsidR="00FD64A6" w:rsidRPr="00814236">
        <w:rPr>
          <w:rFonts w:cs="Times New Roman"/>
        </w:rPr>
        <w:t xml:space="preserve"> operator</w:t>
      </w:r>
      <w:r w:rsidR="007E2749" w:rsidRPr="00814236">
        <w:rPr>
          <w:rFonts w:cs="Times New Roman"/>
        </w:rPr>
        <w:t xml:space="preserve"> is able</w:t>
      </w:r>
      <w:r w:rsidR="00047105" w:rsidRPr="00814236">
        <w:rPr>
          <w:rFonts w:cs="Times New Roman"/>
        </w:rPr>
        <w:t xml:space="preserve"> to </w:t>
      </w:r>
      <w:r w:rsidR="005F53AD" w:rsidRPr="00814236">
        <w:rPr>
          <w:rFonts w:cs="Times New Roman"/>
        </w:rPr>
        <w:t>send</w:t>
      </w:r>
      <w:r w:rsidR="00B00A2B" w:rsidRPr="00814236">
        <w:rPr>
          <w:rFonts w:cs="Times New Roman"/>
        </w:rPr>
        <w:t xml:space="preserve"> a </w:t>
      </w:r>
      <w:r w:rsidR="005F53AD" w:rsidRPr="00814236">
        <w:rPr>
          <w:rFonts w:cs="Times New Roman"/>
        </w:rPr>
        <w:t xml:space="preserve">continuous </w:t>
      </w:r>
      <w:r w:rsidR="00B00A2B" w:rsidRPr="00814236">
        <w:rPr>
          <w:rFonts w:cs="Times New Roman"/>
        </w:rPr>
        <w:t xml:space="preserve">control signal </w:t>
      </w:r>
      <w:r w:rsidR="0018782C" w:rsidRPr="00814236">
        <w:rPr>
          <w:rFonts w:cs="Times New Roman"/>
        </w:rPr>
        <w:t xml:space="preserve">to </w:t>
      </w:r>
      <w:r w:rsidR="007E2749" w:rsidRPr="00814236">
        <w:rPr>
          <w:rFonts w:cs="Times New Roman"/>
        </w:rPr>
        <w:t>the</w:t>
      </w:r>
      <w:r w:rsidR="00B00A2B" w:rsidRPr="00814236">
        <w:rPr>
          <w:rFonts w:cs="Times New Roman"/>
        </w:rPr>
        <w:t xml:space="preserve"> controller</w:t>
      </w:r>
      <w:r w:rsidR="00BE1A01" w:rsidRPr="00814236">
        <w:rPr>
          <w:rFonts w:cs="Times New Roman"/>
        </w:rPr>
        <w:t xml:space="preserve"> </w:t>
      </w:r>
      <w:r w:rsidR="005F53AD" w:rsidRPr="00814236">
        <w:rPr>
          <w:rFonts w:cs="Times New Roman"/>
        </w:rPr>
        <w:t>to</w:t>
      </w:r>
      <w:r w:rsidR="00B00A2B" w:rsidRPr="00814236">
        <w:rPr>
          <w:rFonts w:cs="Times New Roman"/>
        </w:rPr>
        <w:t xml:space="preserve"> indicat</w:t>
      </w:r>
      <w:r w:rsidR="005F53AD" w:rsidRPr="00814236">
        <w:rPr>
          <w:rFonts w:cs="Times New Roman"/>
        </w:rPr>
        <w:t>e</w:t>
      </w:r>
      <w:r w:rsidR="00B00A2B" w:rsidRPr="00814236">
        <w:rPr>
          <w:rFonts w:cs="Times New Roman"/>
        </w:rPr>
        <w:t xml:space="preserve"> </w:t>
      </w:r>
      <w:r w:rsidR="007E2749" w:rsidRPr="00814236">
        <w:rPr>
          <w:rFonts w:cs="Times New Roman"/>
        </w:rPr>
        <w:t>the</w:t>
      </w:r>
      <w:r w:rsidR="00B00A2B" w:rsidRPr="00814236">
        <w:rPr>
          <w:rFonts w:cs="Times New Roman"/>
        </w:rPr>
        <w:t xml:space="preserve"> system imbalance.</w:t>
      </w:r>
      <w:r w:rsidR="009B06E0" w:rsidRPr="00814236">
        <w:rPr>
          <w:rFonts w:cs="Times New Roman"/>
        </w:rPr>
        <w:t xml:space="preserve"> </w:t>
      </w:r>
    </w:p>
    <w:p w14:paraId="5F1592EF" w14:textId="0E6B32D4" w:rsidR="001809D2" w:rsidRPr="00814236" w:rsidRDefault="00FD64A6" w:rsidP="00141F1C">
      <w:pPr>
        <w:rPr>
          <w:rFonts w:eastAsiaTheme="majorEastAsia" w:cstheme="majorBidi"/>
          <w:b/>
          <w:sz w:val="32"/>
          <w:szCs w:val="32"/>
        </w:rPr>
      </w:pPr>
      <w:r w:rsidRPr="00814236">
        <w:rPr>
          <w:rFonts w:cs="Times New Roman"/>
        </w:rPr>
        <w:t>In this research paper</w:t>
      </w:r>
      <w:r w:rsidR="00645899" w:rsidRPr="00814236">
        <w:rPr>
          <w:rFonts w:cs="Times New Roman"/>
        </w:rPr>
        <w:t>,</w:t>
      </w:r>
      <w:r w:rsidRPr="00814236">
        <w:rPr>
          <w:rFonts w:cs="Times New Roman"/>
        </w:rPr>
        <w:t xml:space="preserve"> we use an EMPC controller </w:t>
      </w:r>
      <w:r w:rsidR="00D77FF0" w:rsidRPr="00814236">
        <w:rPr>
          <w:rFonts w:cs="Times New Roman"/>
        </w:rPr>
        <w:t xml:space="preserve">on a hot water system, </w:t>
      </w:r>
      <w:r w:rsidRPr="00814236">
        <w:rPr>
          <w:rFonts w:cs="Times New Roman"/>
        </w:rPr>
        <w:t xml:space="preserve">where we not only </w:t>
      </w:r>
      <w:r w:rsidR="006E1190" w:rsidRPr="00814236">
        <w:rPr>
          <w:rFonts w:cs="Times New Roman"/>
        </w:rPr>
        <w:t>take</w:t>
      </w:r>
      <w:r w:rsidRPr="00814236">
        <w:rPr>
          <w:rFonts w:cs="Times New Roman"/>
        </w:rPr>
        <w:t xml:space="preserve"> energy c</w:t>
      </w:r>
      <w:r w:rsidR="006E1190" w:rsidRPr="00814236">
        <w:rPr>
          <w:rFonts w:cs="Times New Roman"/>
        </w:rPr>
        <w:t>ost into account</w:t>
      </w:r>
      <w:r w:rsidRPr="00814236">
        <w:rPr>
          <w:rFonts w:cs="Times New Roman"/>
        </w:rPr>
        <w:t xml:space="preserve">, but </w:t>
      </w:r>
      <w:r w:rsidR="00645899" w:rsidRPr="00814236">
        <w:rPr>
          <w:rFonts w:cs="Times New Roman"/>
        </w:rPr>
        <w:t xml:space="preserve">also </w:t>
      </w:r>
      <w:r w:rsidRPr="00814236">
        <w:rPr>
          <w:rFonts w:cs="Times New Roman"/>
        </w:rPr>
        <w:t>the revenue generated from DR (</w:t>
      </w:r>
      <w:r w:rsidR="00645899" w:rsidRPr="00814236">
        <w:rPr>
          <w:rFonts w:cs="Times New Roman"/>
        </w:rPr>
        <w:t>demand response</w:t>
      </w:r>
      <w:r w:rsidRPr="00814236">
        <w:rPr>
          <w:rFonts w:cs="Times New Roman"/>
        </w:rPr>
        <w:t>) on the imbalance market</w:t>
      </w:r>
      <w:r w:rsidR="00511049" w:rsidRPr="00814236">
        <w:rPr>
          <w:rFonts w:cs="Times New Roman"/>
        </w:rPr>
        <w:t xml:space="preserve">. If the revenue generated </w:t>
      </w:r>
      <w:r w:rsidR="00645899" w:rsidRPr="00814236">
        <w:rPr>
          <w:rFonts w:cs="Times New Roman"/>
        </w:rPr>
        <w:t xml:space="preserve">through incorporating </w:t>
      </w:r>
      <w:r w:rsidR="00511049" w:rsidRPr="00814236">
        <w:rPr>
          <w:rFonts w:cs="Times New Roman"/>
        </w:rPr>
        <w:t xml:space="preserve">DR is </w:t>
      </w:r>
      <w:r w:rsidR="00645899" w:rsidRPr="00814236">
        <w:rPr>
          <w:rFonts w:cs="Times New Roman"/>
        </w:rPr>
        <w:t xml:space="preserve">greater </w:t>
      </w:r>
      <w:r w:rsidR="00511049" w:rsidRPr="00814236">
        <w:rPr>
          <w:rFonts w:cs="Times New Roman"/>
        </w:rPr>
        <w:t xml:space="preserve">than the additional energy cost, then we will </w:t>
      </w:r>
      <w:r w:rsidR="00645899" w:rsidRPr="00814236">
        <w:rPr>
          <w:rFonts w:cs="Times New Roman"/>
        </w:rPr>
        <w:t xml:space="preserve">follow </w:t>
      </w:r>
      <w:r w:rsidR="00645899" w:rsidRPr="00814236">
        <w:rPr>
          <w:rFonts w:cs="Times New Roman"/>
        </w:rPr>
        <w:lastRenderedPageBreak/>
        <w:t xml:space="preserve">through with this incorporation. </w:t>
      </w:r>
      <w:r w:rsidR="00511049" w:rsidRPr="00814236">
        <w:rPr>
          <w:rFonts w:cs="Times New Roman"/>
        </w:rPr>
        <w:t xml:space="preserve">By using an EMPC controller, the future energy usage for consumption can be taken into account and will </w:t>
      </w:r>
      <w:r w:rsidR="00645899" w:rsidRPr="00814236">
        <w:rPr>
          <w:rFonts w:cs="Times New Roman"/>
        </w:rPr>
        <w:t>subsequently</w:t>
      </w:r>
      <w:r w:rsidR="00511049" w:rsidRPr="00814236">
        <w:rPr>
          <w:rFonts w:cs="Times New Roman"/>
        </w:rPr>
        <w:t xml:space="preserve"> influence the energy cost</w:t>
      </w:r>
      <w:r w:rsidR="00645899" w:rsidRPr="00814236">
        <w:rPr>
          <w:rFonts w:cs="Times New Roman"/>
        </w:rPr>
        <w:t xml:space="preserve">, on which </w:t>
      </w:r>
      <w:r w:rsidR="00511049" w:rsidRPr="00814236">
        <w:rPr>
          <w:rFonts w:cs="Times New Roman"/>
        </w:rPr>
        <w:t xml:space="preserve">the decision </w:t>
      </w:r>
      <w:r w:rsidR="00645899" w:rsidRPr="00814236">
        <w:rPr>
          <w:rFonts w:cs="Times New Roman"/>
        </w:rPr>
        <w:t xml:space="preserve">as whether to incorporate </w:t>
      </w:r>
      <w:r w:rsidR="00511049" w:rsidRPr="00814236">
        <w:rPr>
          <w:rFonts w:cs="Times New Roman"/>
        </w:rPr>
        <w:t>DR</w:t>
      </w:r>
      <w:r w:rsidR="00645899" w:rsidRPr="00814236">
        <w:rPr>
          <w:rFonts w:cs="Times New Roman"/>
        </w:rPr>
        <w:t xml:space="preserve"> will be based</w:t>
      </w:r>
      <w:r w:rsidRPr="00814236">
        <w:rPr>
          <w:rFonts w:cs="Times New Roman"/>
        </w:rPr>
        <w:t xml:space="preserve">. The amount of flexibility traded is maximised while </w:t>
      </w:r>
      <w:r w:rsidR="00645899" w:rsidRPr="00814236">
        <w:rPr>
          <w:rFonts w:cs="Times New Roman"/>
        </w:rPr>
        <w:t>en</w:t>
      </w:r>
      <w:r w:rsidRPr="00814236">
        <w:rPr>
          <w:rFonts w:cs="Times New Roman"/>
        </w:rPr>
        <w:t>sur</w:t>
      </w:r>
      <w:r w:rsidR="00645899" w:rsidRPr="00814236">
        <w:rPr>
          <w:rFonts w:cs="Times New Roman"/>
        </w:rPr>
        <w:t>ing</w:t>
      </w:r>
      <w:r w:rsidRPr="00814236">
        <w:rPr>
          <w:rFonts w:cs="Times New Roman"/>
        </w:rPr>
        <w:t xml:space="preserve"> that no building user </w:t>
      </w:r>
      <w:r w:rsidR="00D77FF0" w:rsidRPr="00814236">
        <w:rPr>
          <w:rFonts w:cs="Times New Roman"/>
        </w:rPr>
        <w:t>experiences any inconvenience (</w:t>
      </w:r>
      <w:r w:rsidR="00645899" w:rsidRPr="00814236">
        <w:rPr>
          <w:rFonts w:cs="Times New Roman"/>
        </w:rPr>
        <w:t xml:space="preserve">e.g. </w:t>
      </w:r>
      <w:r w:rsidR="00D77FF0" w:rsidRPr="00814236">
        <w:rPr>
          <w:rFonts w:cs="Times New Roman"/>
        </w:rPr>
        <w:t xml:space="preserve">lack of hot water). </w:t>
      </w:r>
      <w:r w:rsidR="000E7E05" w:rsidRPr="00814236">
        <w:rPr>
          <w:rFonts w:cs="Times New Roman"/>
        </w:rPr>
        <w:t>Maxim</w:t>
      </w:r>
      <w:r w:rsidR="00E927FA" w:rsidRPr="00814236">
        <w:rPr>
          <w:rFonts w:cs="Times New Roman"/>
        </w:rPr>
        <w:t>is</w:t>
      </w:r>
      <w:r w:rsidR="000E7E05" w:rsidRPr="00814236">
        <w:rPr>
          <w:rFonts w:cs="Times New Roman"/>
        </w:rPr>
        <w:t>ing flexibility is</w:t>
      </w:r>
      <w:r w:rsidR="00D77FF0" w:rsidRPr="00814236">
        <w:rPr>
          <w:rFonts w:cs="Times New Roman"/>
        </w:rPr>
        <w:t xml:space="preserve"> achieved by changing the setpoint (water temperature) as a function of the state of the net. </w:t>
      </w:r>
      <w:r w:rsidR="00D13BD7" w:rsidRPr="00814236">
        <w:rPr>
          <w:rFonts w:cs="Times New Roman"/>
        </w:rPr>
        <w:t>What is shown is that b</w:t>
      </w:r>
      <w:r w:rsidRPr="00814236">
        <w:rPr>
          <w:rFonts w:cs="Times New Roman"/>
        </w:rPr>
        <w:t>y taking the revenue from selling flexibility on the imbalance market into account, the return on investment</w:t>
      </w:r>
      <w:r w:rsidR="000E7E05" w:rsidRPr="00814236">
        <w:rPr>
          <w:rFonts w:cs="Times New Roman"/>
        </w:rPr>
        <w:t xml:space="preserve"> in smart technologies</w:t>
      </w:r>
      <w:r w:rsidR="006E216D" w:rsidRPr="00814236">
        <w:rPr>
          <w:rFonts w:cs="Times New Roman"/>
        </w:rPr>
        <w:t xml:space="preserve"> </w:t>
      </w:r>
      <w:r w:rsidR="00D13BD7" w:rsidRPr="00814236">
        <w:rPr>
          <w:rFonts w:cs="Times New Roman"/>
        </w:rPr>
        <w:t>(EMPC)</w:t>
      </w:r>
      <w:r w:rsidRPr="00814236">
        <w:rPr>
          <w:rFonts w:cs="Times New Roman"/>
        </w:rPr>
        <w:t xml:space="preserve"> </w:t>
      </w:r>
      <w:r w:rsidR="00851902" w:rsidRPr="00814236">
        <w:rPr>
          <w:rFonts w:cs="Times New Roman"/>
        </w:rPr>
        <w:t>increases</w:t>
      </w:r>
      <w:r w:rsidRPr="00814236">
        <w:rPr>
          <w:rFonts w:cs="Times New Roman"/>
        </w:rPr>
        <w:t xml:space="preserve">. </w:t>
      </w:r>
      <w:r w:rsidR="00B332E1" w:rsidRPr="00814236">
        <w:rPr>
          <w:rFonts w:cs="Times New Roman"/>
        </w:rPr>
        <w:t>To the best of our knowledge, t</w:t>
      </w:r>
      <w:r w:rsidR="00D77FF0" w:rsidRPr="00814236">
        <w:rPr>
          <w:rFonts w:cs="Times New Roman"/>
        </w:rPr>
        <w:t>aking th</w:t>
      </w:r>
      <w:r w:rsidR="00B332E1" w:rsidRPr="00814236">
        <w:rPr>
          <w:rFonts w:cs="Times New Roman"/>
        </w:rPr>
        <w:t xml:space="preserve">is aspect into </w:t>
      </w:r>
      <w:r w:rsidR="00D77FF0" w:rsidRPr="00814236">
        <w:rPr>
          <w:rFonts w:cs="Times New Roman"/>
        </w:rPr>
        <w:t>account and maximising for flexibility to optimise the generated revenue, has not</w:t>
      </w:r>
      <w:r w:rsidR="00B332E1" w:rsidRPr="00814236">
        <w:rPr>
          <w:rFonts w:cs="Times New Roman"/>
        </w:rPr>
        <w:t>, as yet,</w:t>
      </w:r>
      <w:r w:rsidR="00D77FF0" w:rsidRPr="00814236">
        <w:rPr>
          <w:rFonts w:cs="Times New Roman"/>
        </w:rPr>
        <w:t xml:space="preserve"> been researched. </w:t>
      </w:r>
      <w:r w:rsidR="005D53A5" w:rsidRPr="00814236">
        <w:rPr>
          <w:rFonts w:cs="Times New Roman"/>
        </w:rPr>
        <w:t>Further</w:t>
      </w:r>
      <w:r w:rsidR="00B332E1" w:rsidRPr="00814236">
        <w:rPr>
          <w:rFonts w:cs="Times New Roman"/>
        </w:rPr>
        <w:t>,</w:t>
      </w:r>
      <w:r w:rsidR="005D53A5" w:rsidRPr="00814236">
        <w:rPr>
          <w:rFonts w:cs="Times New Roman"/>
        </w:rPr>
        <w:t xml:space="preserve"> it is shown that by lowering the insulation of the boiler, </w:t>
      </w:r>
      <w:r w:rsidR="00B332E1" w:rsidRPr="00814236">
        <w:rPr>
          <w:rFonts w:cs="Times New Roman"/>
        </w:rPr>
        <w:t xml:space="preserve">which </w:t>
      </w:r>
      <w:r w:rsidR="005D53A5" w:rsidRPr="00814236">
        <w:rPr>
          <w:rFonts w:cs="Times New Roman"/>
        </w:rPr>
        <w:t>lead</w:t>
      </w:r>
      <w:r w:rsidR="00B332E1" w:rsidRPr="00814236">
        <w:rPr>
          <w:rFonts w:cs="Times New Roman"/>
        </w:rPr>
        <w:t>s</w:t>
      </w:r>
      <w:r w:rsidR="005D53A5" w:rsidRPr="00814236">
        <w:rPr>
          <w:rFonts w:cs="Times New Roman"/>
        </w:rPr>
        <w:t xml:space="preserve"> to a worse energy performance, the revenue from flexibility </w:t>
      </w:r>
      <w:r w:rsidR="00B332E1" w:rsidRPr="00814236">
        <w:rPr>
          <w:rFonts w:cs="Times New Roman"/>
        </w:rPr>
        <w:t>increase</w:t>
      </w:r>
      <w:r w:rsidR="005D53A5" w:rsidRPr="00814236">
        <w:rPr>
          <w:rFonts w:cs="Times New Roman"/>
        </w:rPr>
        <w:t xml:space="preserve">s. This remarkable conclusion makes it necessary to regulate the participation </w:t>
      </w:r>
      <w:r w:rsidR="00B332E1" w:rsidRPr="00814236">
        <w:rPr>
          <w:rFonts w:cs="Times New Roman"/>
        </w:rPr>
        <w:t>i</w:t>
      </w:r>
      <w:r w:rsidR="005D53A5" w:rsidRPr="00814236">
        <w:rPr>
          <w:rFonts w:cs="Times New Roman"/>
        </w:rPr>
        <w:t>n demand response.</w:t>
      </w:r>
      <w:bookmarkStart w:id="4" w:name="_Toc528960159"/>
    </w:p>
    <w:p w14:paraId="39B5A5AE" w14:textId="4189A364" w:rsidR="00381275" w:rsidRPr="00B4035C" w:rsidRDefault="006479E7" w:rsidP="003C3CA0">
      <w:pPr>
        <w:pStyle w:val="Heading1"/>
      </w:pPr>
      <w:bookmarkStart w:id="5" w:name="_Toc528960160"/>
      <w:bookmarkStart w:id="6" w:name="_Toc7096527"/>
      <w:bookmarkEnd w:id="4"/>
      <w:r w:rsidRPr="003C3CA0">
        <w:t xml:space="preserve">Simulation </w:t>
      </w:r>
      <w:r w:rsidR="00B332E1" w:rsidRPr="00814236">
        <w:t>S</w:t>
      </w:r>
      <w:r w:rsidRPr="003C3CA0">
        <w:t>etup</w:t>
      </w:r>
      <w:r w:rsidR="007527E4" w:rsidRPr="003C3CA0">
        <w:t>s</w:t>
      </w:r>
      <w:bookmarkEnd w:id="5"/>
      <w:bookmarkEnd w:id="6"/>
    </w:p>
    <w:p w14:paraId="1B9A8730" w14:textId="3E3E0099" w:rsidR="007527E4" w:rsidRPr="00814236" w:rsidRDefault="00B332E1" w:rsidP="00141F1C">
      <w:pPr>
        <w:rPr>
          <w:rFonts w:cs="Times New Roman"/>
        </w:rPr>
      </w:pPr>
      <w:r w:rsidRPr="00814236">
        <w:rPr>
          <w:rFonts w:cs="Times New Roman"/>
        </w:rPr>
        <w:t>Here, w</w:t>
      </w:r>
      <w:r w:rsidR="00F671DB" w:rsidRPr="00814236">
        <w:rPr>
          <w:rFonts w:cs="Times New Roman"/>
        </w:rPr>
        <w:t>e</w:t>
      </w:r>
      <w:r w:rsidR="00851659" w:rsidRPr="00814236">
        <w:rPr>
          <w:rFonts w:cs="Times New Roman"/>
        </w:rPr>
        <w:t xml:space="preserve"> simulate the demand-side control of an electric water heater</w:t>
      </w:r>
      <w:r w:rsidR="00F63288" w:rsidRPr="00814236">
        <w:rPr>
          <w:rFonts w:cs="Times New Roman"/>
        </w:rPr>
        <w:t xml:space="preserve"> of a residential</w:t>
      </w:r>
      <w:r w:rsidR="00845206" w:rsidRPr="00814236">
        <w:rPr>
          <w:rFonts w:cs="Times New Roman"/>
        </w:rPr>
        <w:t xml:space="preserve"> </w:t>
      </w:r>
      <w:r w:rsidR="00F63288" w:rsidRPr="00814236">
        <w:rPr>
          <w:rFonts w:cs="Times New Roman"/>
        </w:rPr>
        <w:t>building</w:t>
      </w:r>
      <w:r w:rsidR="00851659" w:rsidRPr="00814236">
        <w:rPr>
          <w:rFonts w:cs="Times New Roman"/>
        </w:rPr>
        <w:t xml:space="preserve">. The consumption profile is assumed to be fixed and </w:t>
      </w:r>
      <w:r w:rsidRPr="00814236">
        <w:rPr>
          <w:rFonts w:cs="Times New Roman"/>
        </w:rPr>
        <w:t xml:space="preserve">that it </w:t>
      </w:r>
      <w:r w:rsidR="00851659" w:rsidRPr="00814236">
        <w:rPr>
          <w:rFonts w:cs="Times New Roman"/>
        </w:rPr>
        <w:t xml:space="preserve">repeats itself on a daily basis. </w:t>
      </w:r>
      <w:r w:rsidR="00F671DB" w:rsidRPr="00814236">
        <w:rPr>
          <w:rFonts w:cs="Times New Roman"/>
        </w:rPr>
        <w:t xml:space="preserve">An </w:t>
      </w:r>
      <w:r w:rsidR="001A5768" w:rsidRPr="00814236">
        <w:rPr>
          <w:rFonts w:cs="Times New Roman"/>
        </w:rPr>
        <w:t>EMPC controller receives information about the future energy demand of the heater, the cost of electricity, and the compensation from delivering network balance</w:t>
      </w:r>
      <w:r w:rsidR="00F671DB" w:rsidRPr="00814236">
        <w:rPr>
          <w:rFonts w:cs="Times New Roman"/>
        </w:rPr>
        <w:t xml:space="preserve"> </w:t>
      </w:r>
      <w:r w:rsidRPr="00814236">
        <w:rPr>
          <w:rFonts w:cs="Times New Roman"/>
        </w:rPr>
        <w:t>(</w:t>
      </w:r>
      <w:r w:rsidR="00F671DB" w:rsidRPr="00814236">
        <w:rPr>
          <w:rFonts w:cs="Times New Roman"/>
        </w:rPr>
        <w:t>i.e. flexibility</w:t>
      </w:r>
      <w:r w:rsidRPr="00814236">
        <w:rPr>
          <w:rFonts w:cs="Times New Roman"/>
        </w:rPr>
        <w:t>)</w:t>
      </w:r>
      <w:r w:rsidR="001A5768" w:rsidRPr="00814236">
        <w:rPr>
          <w:rFonts w:cs="Times New Roman"/>
        </w:rPr>
        <w:t xml:space="preserve">. </w:t>
      </w:r>
      <w:r w:rsidRPr="00814236">
        <w:rPr>
          <w:rFonts w:cs="Times New Roman"/>
        </w:rPr>
        <w:t xml:space="preserve">In contrast to </w:t>
      </w:r>
      <w:r w:rsidR="002F02B6" w:rsidRPr="00814236">
        <w:rPr>
          <w:rFonts w:cs="Times New Roman"/>
        </w:rPr>
        <w:t>previous research</w:t>
      </w:r>
      <w:r w:rsidR="00E46BF9" w:rsidRPr="00814236">
        <w:rPr>
          <w:rFonts w:cs="Times New Roman"/>
        </w:rPr>
        <w:t xml:space="preserve">, </w:t>
      </w:r>
      <w:r w:rsidR="00881021" w:rsidRPr="00814236">
        <w:rPr>
          <w:rFonts w:cs="Times New Roman"/>
        </w:rPr>
        <w:t xml:space="preserve">the revenue from trading energy on the imbalance market is </w:t>
      </w:r>
      <w:r w:rsidR="00025C1D" w:rsidRPr="00814236">
        <w:rPr>
          <w:rFonts w:cs="Times New Roman"/>
        </w:rPr>
        <w:t xml:space="preserve">central to </w:t>
      </w:r>
      <w:r w:rsidRPr="00814236">
        <w:rPr>
          <w:rFonts w:cs="Times New Roman"/>
        </w:rPr>
        <w:t>our</w:t>
      </w:r>
      <w:r w:rsidR="00025C1D" w:rsidRPr="00814236">
        <w:rPr>
          <w:rFonts w:cs="Times New Roman"/>
        </w:rPr>
        <w:t xml:space="preserve"> analysis</w:t>
      </w:r>
      <w:r w:rsidR="00881021" w:rsidRPr="00814236">
        <w:rPr>
          <w:rFonts w:cs="Times New Roman"/>
        </w:rPr>
        <w:t xml:space="preserve"> and </w:t>
      </w:r>
      <w:r w:rsidR="00E46BF9" w:rsidRPr="00814236">
        <w:rPr>
          <w:rFonts w:cs="Times New Roman"/>
        </w:rPr>
        <w:t xml:space="preserve">the EMPC controller </w:t>
      </w:r>
      <w:r w:rsidR="00845206" w:rsidRPr="00814236">
        <w:rPr>
          <w:rFonts w:cs="Times New Roman"/>
        </w:rPr>
        <w:t>does not minim</w:t>
      </w:r>
      <w:r w:rsidR="00E927FA" w:rsidRPr="00814236">
        <w:rPr>
          <w:rFonts w:cs="Times New Roman"/>
        </w:rPr>
        <w:t>is</w:t>
      </w:r>
      <w:r w:rsidR="00845206" w:rsidRPr="00814236">
        <w:rPr>
          <w:rFonts w:cs="Times New Roman"/>
        </w:rPr>
        <w:t xml:space="preserve">e costs but </w:t>
      </w:r>
      <w:r w:rsidR="00E46BF9" w:rsidRPr="00814236">
        <w:rPr>
          <w:rFonts w:cs="Times New Roman"/>
        </w:rPr>
        <w:t>maxim</w:t>
      </w:r>
      <w:r w:rsidR="00E927FA" w:rsidRPr="00814236">
        <w:rPr>
          <w:rFonts w:cs="Times New Roman"/>
        </w:rPr>
        <w:t>is</w:t>
      </w:r>
      <w:r w:rsidR="00E46BF9" w:rsidRPr="00814236">
        <w:rPr>
          <w:rFonts w:cs="Times New Roman"/>
        </w:rPr>
        <w:t xml:space="preserve">es </w:t>
      </w:r>
      <w:r w:rsidR="00845206" w:rsidRPr="00814236">
        <w:rPr>
          <w:rFonts w:cs="Times New Roman"/>
        </w:rPr>
        <w:t>net</w:t>
      </w:r>
      <w:r w:rsidR="006E216D" w:rsidRPr="00814236">
        <w:rPr>
          <w:rFonts w:cs="Times New Roman"/>
        </w:rPr>
        <w:t xml:space="preserve"> </w:t>
      </w:r>
      <w:r w:rsidR="00E46BF9" w:rsidRPr="00814236">
        <w:rPr>
          <w:rFonts w:cs="Times New Roman"/>
        </w:rPr>
        <w:t>revenues</w:t>
      </w:r>
      <w:r w:rsidR="00881021" w:rsidRPr="00814236">
        <w:rPr>
          <w:rFonts w:cs="Times New Roman"/>
        </w:rPr>
        <w:t>.</w:t>
      </w:r>
      <w:r w:rsidR="00F671DB" w:rsidRPr="00814236">
        <w:rPr>
          <w:rFonts w:cs="Times New Roman"/>
        </w:rPr>
        <w:t xml:space="preserve"> </w:t>
      </w:r>
      <w:r w:rsidR="00881021" w:rsidRPr="00814236">
        <w:rPr>
          <w:rFonts w:cs="Times New Roman"/>
        </w:rPr>
        <w:t>The controller decides</w:t>
      </w:r>
      <w:r w:rsidR="00E46BF9" w:rsidRPr="00814236">
        <w:rPr>
          <w:rFonts w:cs="Times New Roman"/>
        </w:rPr>
        <w:t xml:space="preserve"> to </w:t>
      </w:r>
      <w:r w:rsidR="00F671DB" w:rsidRPr="00814236">
        <w:rPr>
          <w:rFonts w:cs="Times New Roman"/>
        </w:rPr>
        <w:t xml:space="preserve">either </w:t>
      </w:r>
      <w:r w:rsidR="00E46BF9" w:rsidRPr="00814236">
        <w:rPr>
          <w:rFonts w:cs="Times New Roman"/>
        </w:rPr>
        <w:t>maintain the current operation</w:t>
      </w:r>
      <w:r w:rsidR="00F671DB" w:rsidRPr="00814236">
        <w:rPr>
          <w:rFonts w:cs="Times New Roman"/>
        </w:rPr>
        <w:t xml:space="preserve"> of the heater</w:t>
      </w:r>
      <w:r w:rsidR="00E46BF9" w:rsidRPr="00814236">
        <w:rPr>
          <w:rFonts w:cs="Times New Roman"/>
        </w:rPr>
        <w:t xml:space="preserve">, or </w:t>
      </w:r>
      <w:r w:rsidR="00F671DB" w:rsidRPr="00814236">
        <w:rPr>
          <w:rFonts w:cs="Times New Roman"/>
        </w:rPr>
        <w:t xml:space="preserve">to </w:t>
      </w:r>
      <w:r w:rsidR="00E46BF9" w:rsidRPr="00814236">
        <w:rPr>
          <w:rFonts w:cs="Times New Roman"/>
        </w:rPr>
        <w:t xml:space="preserve">change the </w:t>
      </w:r>
      <w:r w:rsidRPr="00814236">
        <w:rPr>
          <w:rFonts w:cs="Times New Roman"/>
        </w:rPr>
        <w:t xml:space="preserve">set-point </w:t>
      </w:r>
      <w:r w:rsidR="00E46BF9" w:rsidRPr="00814236">
        <w:rPr>
          <w:rFonts w:cs="Times New Roman"/>
        </w:rPr>
        <w:t>temperature of the tank to 40</w:t>
      </w:r>
      <w:r w:rsidRPr="00814236">
        <w:rPr>
          <w:rFonts w:cs="Times New Roman"/>
        </w:rPr>
        <w:t>℃</w:t>
      </w:r>
      <w:r w:rsidR="00814236" w:rsidRPr="00814236">
        <w:rPr>
          <w:rFonts w:cs="Times New Roman"/>
        </w:rPr>
        <w:t xml:space="preserve"> </w:t>
      </w:r>
      <w:r w:rsidR="00E46BF9" w:rsidRPr="00814236">
        <w:rPr>
          <w:rFonts w:cs="Times New Roman"/>
        </w:rPr>
        <w:t xml:space="preserve">in case of an energy shortage in the transmission net (negative system </w:t>
      </w:r>
      <w:r w:rsidR="00E46BF9" w:rsidRPr="00814236">
        <w:rPr>
          <w:rFonts w:cs="Times New Roman"/>
        </w:rPr>
        <w:lastRenderedPageBreak/>
        <w:t>unbalance), 60</w:t>
      </w:r>
      <w:r w:rsidR="00814236" w:rsidRPr="00814236">
        <w:rPr>
          <w:rFonts w:cs="Times New Roman"/>
        </w:rPr>
        <w:t>℃</w:t>
      </w:r>
      <w:r w:rsidR="00E46BF9" w:rsidRPr="00814236">
        <w:rPr>
          <w:rFonts w:cs="Times New Roman"/>
        </w:rPr>
        <w:t xml:space="preserve"> (standard operations), or 90</w:t>
      </w:r>
      <w:r w:rsidR="00814236" w:rsidRPr="00814236">
        <w:rPr>
          <w:rFonts w:cs="Times New Roman"/>
        </w:rPr>
        <w:t>℃</w:t>
      </w:r>
      <w:r w:rsidR="00E46BF9" w:rsidRPr="00814236">
        <w:rPr>
          <w:rFonts w:cs="Times New Roman"/>
        </w:rPr>
        <w:t xml:space="preserve"> in case of a positive system imbalance</w:t>
      </w:r>
      <w:r w:rsidR="00F671DB" w:rsidRPr="00814236">
        <w:rPr>
          <w:rFonts w:cs="Times New Roman"/>
        </w:rPr>
        <w:t>.</w:t>
      </w:r>
    </w:p>
    <w:p w14:paraId="43CE0A89" w14:textId="067692DA" w:rsidR="00F910D1" w:rsidRDefault="00F910D1" w:rsidP="00A907D5">
      <w:pPr>
        <w:pStyle w:val="Heading3"/>
        <w:rPr>
          <w:rFonts w:cs="Times New Roman"/>
        </w:rPr>
      </w:pPr>
      <w:bookmarkStart w:id="7" w:name="_Toc7096528"/>
      <w:r>
        <w:rPr>
          <w:rFonts w:cs="Times New Roman"/>
        </w:rPr>
        <w:t>2.1 Overview</w:t>
      </w:r>
      <w:bookmarkEnd w:id="7"/>
    </w:p>
    <w:p w14:paraId="1FDECEB7" w14:textId="52A4A815" w:rsidR="001809D2" w:rsidRPr="00814236" w:rsidRDefault="00881021" w:rsidP="00141F1C">
      <w:pPr>
        <w:rPr>
          <w:rFonts w:cs="Times New Roman"/>
        </w:rPr>
      </w:pPr>
      <w:r w:rsidRPr="00814236">
        <w:rPr>
          <w:rFonts w:cs="Times New Roman"/>
        </w:rPr>
        <w:t>Similar to Ericson</w:t>
      </w:r>
      <w:r w:rsidR="002F02B6" w:rsidRPr="00814236">
        <w:rPr>
          <w:rFonts w:cs="Times New Roman"/>
        </w:rPr>
        <w:t xml:space="preserve"> </w:t>
      </w:r>
      <w:r w:rsidR="002F02B6" w:rsidRPr="00814236">
        <w:rPr>
          <w:rFonts w:cs="Times New Roman"/>
        </w:rPr>
        <w:fldChar w:fldCharType="begin" w:fldLock="1"/>
      </w:r>
      <w:r w:rsidR="00867353" w:rsidRPr="00814236">
        <w:rPr>
          <w:rFonts w:cs="Times New Roman"/>
        </w:rPr>
        <w:instrText>ADDIN CSL_CITATION {"citationItems":[{"id":"ITEM-1","itemData":{"DOI":"10.1016/j.enpol.2009.03.063","abstract":"In Norway there is a growing concern that electricity production and transmission may not meet the demand in peak-load situations. It is therefore important to evaluate the potential of different demand-side measures that may contribute to reduce peak load. This paper analyses data from an experiment where residential water heaters were automatically disconnected during peak periods of the day. A model of hourly electricity consumption is used to evaluate the effects on the load of the disconnections. The results indicate an average consumption reduction per household of approximately 0.5 kWh/h during disconnection, and an additional average increase in consumption the following hour, due to the payback effect, that may reach up to 0.28 kWh/h per household.","author":[{"dropping-particle":"","family":"Ericson","given":"Torgeir","non-dropping-particle":"","parse-names":false,"suffix":""}],"container-title":"Energy Policy","id":"ITEM-1","issued":{"date-parts":[["2009"]]},"page":"3502-3512","title":"Direct load control of residential water heaters","type":"article-journal","volume":"37"},"suppress-author":1,"uris":["http://www.mendeley.com/documents/?uuid=53bab724-6649-3808-a65e-f241ff5c0a47"]}],"mendeley":{"formattedCitation":"(2009)","plainTextFormattedCitation":"(2009)","previouslyFormattedCitation":"(2009)"},"properties":{"noteIndex":0},"schema":"https://github.com/citation-style-language/schema/raw/master/csl-citation.json"}</w:instrText>
      </w:r>
      <w:r w:rsidR="002F02B6" w:rsidRPr="00814236">
        <w:rPr>
          <w:rFonts w:cs="Times New Roman"/>
        </w:rPr>
        <w:fldChar w:fldCharType="separate"/>
      </w:r>
      <w:r w:rsidR="002F02B6" w:rsidRPr="00814236">
        <w:rPr>
          <w:rFonts w:cs="Times New Roman"/>
          <w:noProof/>
        </w:rPr>
        <w:t>(2009)</w:t>
      </w:r>
      <w:r w:rsidR="002F02B6" w:rsidRPr="00814236">
        <w:rPr>
          <w:rFonts w:cs="Times New Roman"/>
        </w:rPr>
        <w:fldChar w:fldCharType="end"/>
      </w:r>
      <w:r w:rsidR="001809D2" w:rsidRPr="00814236">
        <w:rPr>
          <w:rFonts w:cs="Times New Roman"/>
        </w:rPr>
        <w:t>,</w:t>
      </w:r>
      <w:r w:rsidR="00BF3478" w:rsidRPr="00814236">
        <w:rPr>
          <w:rFonts w:cs="Times New Roman"/>
        </w:rPr>
        <w:t xml:space="preserve"> </w:t>
      </w:r>
      <w:r w:rsidRPr="00814236">
        <w:rPr>
          <w:rFonts w:cs="Times New Roman"/>
        </w:rPr>
        <w:t>the status and operations of the electric heater is modelled in</w:t>
      </w:r>
      <w:r w:rsidR="00141F1C" w:rsidRPr="00814236">
        <w:rPr>
          <w:rFonts w:cs="Times New Roman"/>
        </w:rPr>
        <w:t xml:space="preserve"> </w:t>
      </w:r>
      <w:r w:rsidR="001809D2" w:rsidRPr="00814236">
        <w:rPr>
          <w:rFonts w:cs="Times New Roman"/>
        </w:rPr>
        <w:t xml:space="preserve">TRNSYS </w:t>
      </w:r>
      <w:r w:rsidR="00BF3478" w:rsidRPr="00814236">
        <w:rPr>
          <w:rFonts w:cs="Times New Roman"/>
        </w:rPr>
        <w:t xml:space="preserve">and </w:t>
      </w:r>
      <w:r w:rsidR="00474224" w:rsidRPr="00814236">
        <w:rPr>
          <w:rFonts w:cs="Times New Roman"/>
        </w:rPr>
        <w:t>represents</w:t>
      </w:r>
      <w:r w:rsidR="001809D2" w:rsidRPr="00814236">
        <w:rPr>
          <w:rFonts w:cs="Times New Roman"/>
        </w:rPr>
        <w:t xml:space="preserve"> the </w:t>
      </w:r>
      <w:r w:rsidR="00474224" w:rsidRPr="00814236">
        <w:rPr>
          <w:rFonts w:cs="Times New Roman"/>
        </w:rPr>
        <w:t>heater</w:t>
      </w:r>
      <w:r w:rsidR="00F63288" w:rsidRPr="00814236">
        <w:rPr>
          <w:rFonts w:cs="Times New Roman"/>
        </w:rPr>
        <w:t xml:space="preserve"> of a residential building</w:t>
      </w:r>
      <w:r w:rsidR="001809D2" w:rsidRPr="00814236">
        <w:rPr>
          <w:rFonts w:cs="Times New Roman"/>
        </w:rPr>
        <w:t xml:space="preserve"> interacting with the </w:t>
      </w:r>
      <w:r w:rsidR="00C324E5" w:rsidRPr="00814236">
        <w:rPr>
          <w:rFonts w:cs="Times New Roman"/>
        </w:rPr>
        <w:t>E</w:t>
      </w:r>
      <w:r w:rsidR="001809D2" w:rsidRPr="00814236">
        <w:rPr>
          <w:rFonts w:cs="Times New Roman"/>
        </w:rPr>
        <w:t>MPC</w:t>
      </w:r>
      <w:r w:rsidR="00474224" w:rsidRPr="00814236">
        <w:rPr>
          <w:rFonts w:cs="Times New Roman"/>
        </w:rPr>
        <w:t xml:space="preserve"> </w:t>
      </w:r>
      <w:r w:rsidR="001809D2" w:rsidRPr="00814236">
        <w:rPr>
          <w:rFonts w:cs="Times New Roman"/>
        </w:rPr>
        <w:t>controller</w:t>
      </w:r>
      <w:r w:rsidR="00F910D1">
        <w:rPr>
          <w:rFonts w:cs="Times New Roman"/>
        </w:rPr>
        <w:t>,</w:t>
      </w:r>
      <w:r w:rsidR="001809D2" w:rsidRPr="00814236">
        <w:rPr>
          <w:rFonts w:cs="Times New Roman"/>
        </w:rPr>
        <w:t xml:space="preserve"> </w:t>
      </w:r>
      <w:r w:rsidR="00474224" w:rsidRPr="00814236">
        <w:rPr>
          <w:rFonts w:cs="Times New Roman"/>
        </w:rPr>
        <w:t xml:space="preserve">which is </w:t>
      </w:r>
      <w:r w:rsidR="001809D2" w:rsidRPr="00814236">
        <w:rPr>
          <w:rFonts w:cs="Times New Roman"/>
        </w:rPr>
        <w:t xml:space="preserve">programmed in </w:t>
      </w:r>
      <w:proofErr w:type="spellStart"/>
      <w:r w:rsidR="001809D2" w:rsidRPr="00814236">
        <w:rPr>
          <w:rFonts w:cs="Times New Roman"/>
        </w:rPr>
        <w:t>Matlab</w:t>
      </w:r>
      <w:proofErr w:type="spellEnd"/>
      <w:r w:rsidR="00474224" w:rsidRPr="00814236">
        <w:rPr>
          <w:rFonts w:cs="Times New Roman"/>
        </w:rPr>
        <w:t xml:space="preserve">. </w:t>
      </w:r>
      <w:r w:rsidR="001809D2" w:rsidRPr="00814236">
        <w:rPr>
          <w:rFonts w:cs="Times New Roman"/>
        </w:rPr>
        <w:t xml:space="preserve">The model implemented in the </w:t>
      </w:r>
      <w:r w:rsidR="00C324E5" w:rsidRPr="00814236">
        <w:rPr>
          <w:rFonts w:cs="Times New Roman"/>
        </w:rPr>
        <w:t>E</w:t>
      </w:r>
      <w:r w:rsidR="001809D2" w:rsidRPr="00814236">
        <w:rPr>
          <w:rFonts w:cs="Times New Roman"/>
        </w:rPr>
        <w:t xml:space="preserve">MPC controller is a state space model, </w:t>
      </w:r>
      <w:r w:rsidR="00474224" w:rsidRPr="00814236">
        <w:rPr>
          <w:rFonts w:cs="Times New Roman"/>
        </w:rPr>
        <w:t>formulated as follows</w:t>
      </w:r>
      <w:r w:rsidR="001809D2" w:rsidRPr="00814236">
        <w:rPr>
          <w:rFonts w:cs="Times New Roman"/>
        </w:rPr>
        <w:t>:</w:t>
      </w:r>
    </w:p>
    <w:p w14:paraId="67A7CC7E" w14:textId="711D0B76" w:rsidR="00A751C6" w:rsidRPr="00814236" w:rsidRDefault="00191AEA" w:rsidP="00141F1C">
      <w:pPr>
        <w:pStyle w:val="Caption"/>
        <w:jc w:val="center"/>
      </w:pPr>
      <m:oMathPara>
        <m:oMath>
          <m:acc>
            <m:accPr>
              <m:chr m:val="̇"/>
              <m:ctrlPr>
                <w:rPr>
                  <w:rFonts w:ascii="Cambria Math" w:hAnsi="Cambria Math" w:cs="Times New Roman"/>
                  <w:i/>
                </w:rPr>
              </m:ctrlPr>
            </m:accPr>
            <m:e>
              <m:r>
                <w:rPr>
                  <w:rFonts w:ascii="Cambria Math" w:hAnsi="Cambria Math" w:cs="Times New Roman"/>
                </w:rPr>
                <m:t>x</m:t>
              </m:r>
            </m:e>
          </m:acc>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A</m:t>
              </m:r>
            </m:e>
          </m:d>
          <m:r>
            <w:rPr>
              <w:rFonts w:ascii="Cambria Math" w:hAnsi="Cambria Math" w:cs="Times New Roman"/>
            </w:rPr>
            <m:t xml:space="preserve">*x+ </m:t>
          </m:r>
          <m:d>
            <m:dPr>
              <m:begChr m:val="["/>
              <m:endChr m:val="]"/>
              <m:ctrlPr>
                <w:rPr>
                  <w:rFonts w:ascii="Cambria Math" w:hAnsi="Cambria Math" w:cs="Times New Roman"/>
                  <w:i/>
                </w:rPr>
              </m:ctrlPr>
            </m:dPr>
            <m:e>
              <m:r>
                <w:rPr>
                  <w:rFonts w:ascii="Cambria Math" w:hAnsi="Cambria Math" w:cs="Times New Roman"/>
                </w:rPr>
                <m:t>B</m:t>
              </m:r>
            </m:e>
          </m:d>
          <m:r>
            <w:rPr>
              <w:rFonts w:ascii="Cambria Math" w:hAnsi="Cambria Math" w:cs="Times New Roman"/>
            </w:rPr>
            <m:t>*u</m:t>
          </m:r>
        </m:oMath>
      </m:oMathPara>
    </w:p>
    <w:p w14:paraId="1CC841F7" w14:textId="7C932F29" w:rsidR="00A751C6" w:rsidRPr="00814236" w:rsidRDefault="002F02B6" w:rsidP="00141F1C">
      <w:pPr>
        <w:keepNext/>
        <w:jc w:val="center"/>
      </w:pPr>
      <m:oMathPara>
        <m:oMath>
          <m:r>
            <w:rPr>
              <w:rFonts w:ascii="Cambria Math" w:hAnsi="Cambria Math" w:cs="Times New Roman"/>
            </w:rPr>
            <m:t>y=</m:t>
          </m:r>
          <m:d>
            <m:dPr>
              <m:begChr m:val="["/>
              <m:endChr m:val="]"/>
              <m:ctrlPr>
                <w:rPr>
                  <w:rFonts w:ascii="Cambria Math" w:hAnsi="Cambria Math" w:cs="Times New Roman"/>
                  <w:i/>
                </w:rPr>
              </m:ctrlPr>
            </m:dPr>
            <m:e>
              <m:r>
                <w:rPr>
                  <w:rFonts w:ascii="Cambria Math" w:hAnsi="Cambria Math" w:cs="Times New Roman"/>
                </w:rPr>
                <m:t>C</m:t>
              </m:r>
            </m:e>
          </m:d>
          <m:r>
            <w:rPr>
              <w:rFonts w:ascii="Cambria Math" w:hAnsi="Cambria Math" w:cs="Times New Roman"/>
            </w:rPr>
            <m:t xml:space="preserve">*x+ </m:t>
          </m:r>
          <m:d>
            <m:dPr>
              <m:begChr m:val="["/>
              <m:endChr m:val="]"/>
              <m:ctrlPr>
                <w:rPr>
                  <w:rFonts w:ascii="Cambria Math" w:hAnsi="Cambria Math" w:cs="Times New Roman"/>
                  <w:i/>
                </w:rPr>
              </m:ctrlPr>
            </m:dPr>
            <m:e>
              <m:r>
                <w:rPr>
                  <w:rFonts w:ascii="Cambria Math" w:hAnsi="Cambria Math" w:cs="Times New Roman"/>
                </w:rPr>
                <m:t>D</m:t>
              </m:r>
            </m:e>
          </m:d>
          <m:r>
            <w:rPr>
              <w:rFonts w:ascii="Cambria Math" w:hAnsi="Cambria Math" w:cs="Times New Roman"/>
            </w:rPr>
            <m:t>*u</m:t>
          </m:r>
        </m:oMath>
      </m:oMathPara>
    </w:p>
    <w:p w14:paraId="5A2EA18B" w14:textId="52B66B38" w:rsidR="00025C1D" w:rsidRPr="00A907D5" w:rsidRDefault="00814236" w:rsidP="00A907D5">
      <w:pPr>
        <w:rPr>
          <w:rFonts w:cs="Times New Roman"/>
          <w:sz w:val="20"/>
          <w:szCs w:val="20"/>
        </w:rPr>
      </w:pPr>
      <w:r w:rsidRPr="003C3CA0">
        <w:rPr>
          <w:rFonts w:cs="Times New Roman"/>
          <w:sz w:val="20"/>
          <w:szCs w:val="20"/>
        </w:rPr>
        <w:t>W</w:t>
      </w:r>
      <w:r w:rsidR="00BC3EEF" w:rsidRPr="00A907D5">
        <w:rPr>
          <w:rFonts w:cs="Times New Roman"/>
          <w:sz w:val="20"/>
          <w:szCs w:val="20"/>
        </w:rPr>
        <w:t>h</w:t>
      </w:r>
      <w:r w:rsidR="00025C1D" w:rsidRPr="00A907D5">
        <w:rPr>
          <w:rFonts w:cs="Times New Roman"/>
          <w:sz w:val="20"/>
          <w:szCs w:val="20"/>
        </w:rPr>
        <w:t>ere</w:t>
      </w:r>
      <w:r w:rsidRPr="00814236">
        <w:rPr>
          <w:rFonts w:cs="Times New Roman"/>
          <w:sz w:val="20"/>
          <w:szCs w:val="20"/>
        </w:rPr>
        <w:t xml:space="preserve"> </w:t>
      </w:r>
      <m:oMath>
        <m:r>
          <w:rPr>
            <w:rFonts w:ascii="Cambria Math" w:hAnsi="Cambria Math" w:cs="Times New Roman"/>
            <w:sz w:val="20"/>
            <w:szCs w:val="20"/>
          </w:rPr>
          <m:t>x</m:t>
        </m:r>
      </m:oMath>
      <w:r w:rsidR="00025C1D" w:rsidRPr="00A907D5">
        <w:rPr>
          <w:rFonts w:cs="Times New Roman"/>
          <w:sz w:val="20"/>
          <w:szCs w:val="20"/>
        </w:rPr>
        <w:t xml:space="preserve"> is the state </w:t>
      </w:r>
      <w:r w:rsidR="002F02B6" w:rsidRPr="00A907D5">
        <w:rPr>
          <w:rFonts w:cs="Times New Roman"/>
          <w:sz w:val="20"/>
          <w:szCs w:val="20"/>
        </w:rPr>
        <w:t xml:space="preserve">vector </w:t>
      </w:r>
      <w:r w:rsidR="00025C1D" w:rsidRPr="00A907D5">
        <w:rPr>
          <w:rFonts w:cs="Times New Roman"/>
          <w:sz w:val="20"/>
          <w:szCs w:val="20"/>
        </w:rPr>
        <w:t>of the system in terms of temperature and energy stored</w:t>
      </w:r>
      <w:r w:rsidR="009A2AD0" w:rsidRPr="00A907D5">
        <w:rPr>
          <w:rFonts w:cs="Times New Roman"/>
          <w:sz w:val="20"/>
          <w:szCs w:val="20"/>
        </w:rPr>
        <w:t xml:space="preserve"> at time t</w:t>
      </w:r>
      <w:r w:rsidR="00025C1D" w:rsidRPr="00A907D5">
        <w:rPr>
          <w:rFonts w:cs="Times New Roman"/>
          <w:sz w:val="20"/>
          <w:szCs w:val="20"/>
        </w:rPr>
        <w:t xml:space="preserve">, </w:t>
      </w:r>
      <m:oMath>
        <m:acc>
          <m:accPr>
            <m:chr m:val="̇"/>
            <m:ctrlPr>
              <w:rPr>
                <w:rFonts w:ascii="Cambria Math" w:hAnsi="Cambria Math" w:cs="Times New Roman"/>
                <w:i/>
                <w:sz w:val="20"/>
                <w:szCs w:val="20"/>
              </w:rPr>
            </m:ctrlPr>
          </m:accPr>
          <m:e>
            <m:r>
              <w:rPr>
                <w:rFonts w:ascii="Cambria Math" w:hAnsi="Cambria Math" w:cs="Times New Roman"/>
                <w:sz w:val="20"/>
                <w:szCs w:val="20"/>
              </w:rPr>
              <m:t>x</m:t>
            </m:r>
          </m:e>
        </m:acc>
      </m:oMath>
      <w:r w:rsidR="009A2AD0" w:rsidRPr="00A907D5">
        <w:rPr>
          <w:rFonts w:cs="Times New Roman"/>
          <w:sz w:val="20"/>
          <w:szCs w:val="20"/>
        </w:rPr>
        <w:t xml:space="preserve"> dot is the state </w:t>
      </w:r>
      <w:r w:rsidR="002F02B6" w:rsidRPr="00A907D5">
        <w:rPr>
          <w:rFonts w:cs="Times New Roman"/>
          <w:sz w:val="20"/>
          <w:szCs w:val="20"/>
        </w:rPr>
        <w:t>vector</w:t>
      </w:r>
      <w:r w:rsidR="009A2AD0" w:rsidRPr="00A907D5">
        <w:rPr>
          <w:rFonts w:cs="Times New Roman"/>
          <w:sz w:val="20"/>
          <w:szCs w:val="20"/>
        </w:rPr>
        <w:t xml:space="preserve"> of the system at time t</w:t>
      </w:r>
      <w:r w:rsidR="00D67460" w:rsidRPr="00A907D5">
        <w:rPr>
          <w:rFonts w:cs="Times New Roman"/>
          <w:sz w:val="20"/>
          <w:szCs w:val="20"/>
        </w:rPr>
        <w:t>,</w:t>
      </w:r>
      <w:r w:rsidRPr="00814236">
        <w:rPr>
          <w:rFonts w:cs="Times New Roman"/>
          <w:sz w:val="20"/>
          <w:szCs w:val="20"/>
        </w:rPr>
        <w:t xml:space="preserve"> </w:t>
      </w:r>
      <w:r w:rsidR="00025C1D" w:rsidRPr="00A907D5">
        <w:rPr>
          <w:rFonts w:cs="Times New Roman"/>
          <w:sz w:val="20"/>
          <w:szCs w:val="20"/>
        </w:rPr>
        <w:t xml:space="preserve">[A] is the state matrix of the system in terms of </w:t>
      </w:r>
      <w:r w:rsidR="00FC3AE6" w:rsidRPr="00A907D5">
        <w:rPr>
          <w:rFonts w:cs="Times New Roman"/>
          <w:sz w:val="20"/>
          <w:szCs w:val="20"/>
        </w:rPr>
        <w:t xml:space="preserve">temperatures and energy </w:t>
      </w:r>
      <w:r w:rsidR="00025C1D" w:rsidRPr="00A907D5">
        <w:rPr>
          <w:rFonts w:cs="Times New Roman"/>
          <w:sz w:val="20"/>
          <w:szCs w:val="20"/>
        </w:rPr>
        <w:t>flo</w:t>
      </w:r>
      <w:r w:rsidR="00FC3AE6" w:rsidRPr="00A907D5">
        <w:rPr>
          <w:rFonts w:cs="Times New Roman"/>
          <w:sz w:val="20"/>
          <w:szCs w:val="20"/>
        </w:rPr>
        <w:t>ws</w:t>
      </w:r>
      <w:r w:rsidR="009A2AD0" w:rsidRPr="00A907D5">
        <w:rPr>
          <w:rFonts w:cs="Times New Roman"/>
          <w:sz w:val="20"/>
          <w:szCs w:val="20"/>
        </w:rPr>
        <w:t xml:space="preserve"> at time t</w:t>
      </w:r>
      <w:r w:rsidR="00D67460" w:rsidRPr="00A907D5">
        <w:rPr>
          <w:rFonts w:cs="Times New Roman"/>
          <w:sz w:val="20"/>
          <w:szCs w:val="20"/>
        </w:rPr>
        <w:t>,</w:t>
      </w:r>
      <w:r w:rsidRPr="00814236">
        <w:rPr>
          <w:rFonts w:cs="Times New Roman"/>
          <w:sz w:val="20"/>
          <w:szCs w:val="20"/>
        </w:rPr>
        <w:t xml:space="preserve"> </w:t>
      </w:r>
      <w:r w:rsidR="00025C1D" w:rsidRPr="00A907D5">
        <w:rPr>
          <w:rFonts w:cs="Times New Roman"/>
          <w:sz w:val="20"/>
          <w:szCs w:val="20"/>
        </w:rPr>
        <w:t>[B] is the control matrix</w:t>
      </w:r>
      <w:r w:rsidR="00082502" w:rsidRPr="00A907D5">
        <w:rPr>
          <w:rFonts w:cs="Times New Roman"/>
          <w:sz w:val="20"/>
          <w:szCs w:val="20"/>
        </w:rPr>
        <w:t>,</w:t>
      </w:r>
      <w:r w:rsidR="009A2AD0" w:rsidRPr="00A907D5">
        <w:rPr>
          <w:rFonts w:cs="Times New Roman"/>
          <w:sz w:val="20"/>
          <w:szCs w:val="20"/>
        </w:rPr>
        <w:t xml:space="preserve"> </w:t>
      </w:r>
      <w:r w:rsidR="00FC3AE6" w:rsidRPr="00A907D5">
        <w:rPr>
          <w:rFonts w:cs="Times New Roman"/>
          <w:sz w:val="20"/>
          <w:szCs w:val="20"/>
        </w:rPr>
        <w:t xml:space="preserve">regulating the energy supply towards the tank </w:t>
      </w:r>
      <w:r w:rsidR="009A2AD0" w:rsidRPr="00A907D5">
        <w:rPr>
          <w:rFonts w:cs="Times New Roman"/>
          <w:sz w:val="20"/>
          <w:szCs w:val="20"/>
        </w:rPr>
        <w:t>at time t</w:t>
      </w:r>
      <w:r w:rsidR="00D67460" w:rsidRPr="00A907D5">
        <w:rPr>
          <w:rFonts w:cs="Times New Roman"/>
          <w:sz w:val="20"/>
          <w:szCs w:val="20"/>
        </w:rPr>
        <w:t>,</w:t>
      </w:r>
      <w:r w:rsidRPr="00814236">
        <w:rPr>
          <w:rFonts w:cs="Times New Roman"/>
          <w:sz w:val="20"/>
          <w:szCs w:val="20"/>
        </w:rPr>
        <w:t xml:space="preserve"> </w:t>
      </w:r>
      <w:r w:rsidR="00025C1D" w:rsidRPr="00A907D5">
        <w:rPr>
          <w:rFonts w:cs="Times New Roman"/>
          <w:sz w:val="20"/>
          <w:szCs w:val="20"/>
        </w:rPr>
        <w:t>u</w:t>
      </w:r>
      <w:r w:rsidR="00082502" w:rsidRPr="00A907D5">
        <w:rPr>
          <w:rFonts w:cs="Times New Roman"/>
          <w:sz w:val="20"/>
          <w:szCs w:val="20"/>
        </w:rPr>
        <w:t xml:space="preserve"> is the </w:t>
      </w:r>
      <w:r w:rsidR="00FC3AE6" w:rsidRPr="00A907D5">
        <w:rPr>
          <w:rFonts w:cs="Times New Roman"/>
          <w:sz w:val="20"/>
          <w:szCs w:val="20"/>
        </w:rPr>
        <w:t xml:space="preserve">maximal </w:t>
      </w:r>
      <w:r w:rsidR="00082502" w:rsidRPr="00A907D5">
        <w:rPr>
          <w:rFonts w:cs="Times New Roman"/>
          <w:sz w:val="20"/>
          <w:szCs w:val="20"/>
        </w:rPr>
        <w:t>electric energy delivered to the tank,</w:t>
      </w:r>
      <w:r w:rsidRPr="00814236">
        <w:rPr>
          <w:rFonts w:cs="Times New Roman"/>
          <w:sz w:val="20"/>
          <w:szCs w:val="20"/>
        </w:rPr>
        <w:t xml:space="preserve"> </w:t>
      </w:r>
      <w:r w:rsidR="00025C1D" w:rsidRPr="00A907D5">
        <w:rPr>
          <w:rFonts w:cs="Times New Roman"/>
          <w:sz w:val="20"/>
          <w:szCs w:val="20"/>
        </w:rPr>
        <w:t>y</w:t>
      </w:r>
      <w:r w:rsidR="002F02B6" w:rsidRPr="00A907D5">
        <w:rPr>
          <w:rFonts w:cs="Times New Roman"/>
          <w:sz w:val="20"/>
          <w:szCs w:val="20"/>
        </w:rPr>
        <w:t xml:space="preserve"> </w:t>
      </w:r>
      <w:r w:rsidR="009A2AD0" w:rsidRPr="00A907D5">
        <w:rPr>
          <w:rFonts w:cs="Times New Roman"/>
          <w:sz w:val="20"/>
          <w:szCs w:val="20"/>
        </w:rPr>
        <w:t xml:space="preserve">is the </w:t>
      </w:r>
      <w:r w:rsidR="002F02B6" w:rsidRPr="00A907D5">
        <w:rPr>
          <w:rFonts w:cs="Times New Roman"/>
          <w:sz w:val="20"/>
          <w:szCs w:val="20"/>
        </w:rPr>
        <w:t>output vector</w:t>
      </w:r>
      <w:r w:rsidR="009A2AD0" w:rsidRPr="00A907D5">
        <w:rPr>
          <w:rFonts w:cs="Times New Roman"/>
          <w:sz w:val="20"/>
          <w:szCs w:val="20"/>
        </w:rPr>
        <w:t xml:space="preserve"> of the system at time t+1</w:t>
      </w:r>
      <w:r w:rsidR="00D67460" w:rsidRPr="00A907D5">
        <w:rPr>
          <w:rFonts w:cs="Times New Roman"/>
          <w:sz w:val="20"/>
          <w:szCs w:val="20"/>
        </w:rPr>
        <w:t>,</w:t>
      </w:r>
      <w:r w:rsidRPr="00814236">
        <w:rPr>
          <w:rFonts w:cs="Times New Roman"/>
          <w:sz w:val="20"/>
          <w:szCs w:val="20"/>
        </w:rPr>
        <w:t xml:space="preserve"> </w:t>
      </w:r>
      <w:r w:rsidR="00025C1D" w:rsidRPr="00A907D5">
        <w:rPr>
          <w:rFonts w:cs="Times New Roman"/>
          <w:sz w:val="20"/>
          <w:szCs w:val="20"/>
        </w:rPr>
        <w:t>[C]</w:t>
      </w:r>
      <w:r w:rsidR="00FC3AE6" w:rsidRPr="00A907D5">
        <w:rPr>
          <w:rFonts w:cs="Times New Roman"/>
          <w:sz w:val="20"/>
          <w:szCs w:val="20"/>
        </w:rPr>
        <w:t xml:space="preserve"> is the output matrix, selecting the states to communicate towards the real system controller</w:t>
      </w:r>
      <w:r w:rsidR="00D67460" w:rsidRPr="00A907D5">
        <w:rPr>
          <w:rFonts w:cs="Times New Roman"/>
          <w:sz w:val="20"/>
          <w:szCs w:val="20"/>
        </w:rPr>
        <w:t>,</w:t>
      </w:r>
      <w:r w:rsidRPr="00814236">
        <w:rPr>
          <w:rFonts w:cs="Times New Roman"/>
          <w:sz w:val="20"/>
          <w:szCs w:val="20"/>
        </w:rPr>
        <w:t xml:space="preserve"> </w:t>
      </w:r>
      <w:r w:rsidR="00025C1D" w:rsidRPr="00A907D5">
        <w:rPr>
          <w:rFonts w:cs="Times New Roman"/>
          <w:sz w:val="20"/>
          <w:szCs w:val="20"/>
        </w:rPr>
        <w:t>[D]</w:t>
      </w:r>
      <w:r w:rsidR="00FC3AE6" w:rsidRPr="00A907D5">
        <w:rPr>
          <w:rFonts w:cs="Times New Roman"/>
          <w:sz w:val="20"/>
          <w:szCs w:val="20"/>
        </w:rPr>
        <w:t xml:space="preserve"> is the feedthrough matrix and is the null-matrix in this case. </w:t>
      </w:r>
    </w:p>
    <w:p w14:paraId="56DE8436" w14:textId="25E06CD0" w:rsidR="001809D2" w:rsidRPr="00814236" w:rsidRDefault="00025C1D" w:rsidP="00141F1C">
      <w:pPr>
        <w:rPr>
          <w:rFonts w:cs="Times New Roman"/>
        </w:rPr>
      </w:pPr>
      <w:r w:rsidRPr="00814236">
        <w:rPr>
          <w:rFonts w:cs="Times New Roman"/>
        </w:rPr>
        <w:t>The</w:t>
      </w:r>
      <w:r w:rsidR="00082502" w:rsidRPr="00814236">
        <w:rPr>
          <w:rFonts w:cs="Times New Roman"/>
        </w:rPr>
        <w:t xml:space="preserve"> states of the</w:t>
      </w:r>
      <w:r w:rsidRPr="00814236">
        <w:rPr>
          <w:rFonts w:cs="Times New Roman"/>
        </w:rPr>
        <w:t xml:space="preserve"> temperature</w:t>
      </w:r>
      <w:r w:rsidR="00082502" w:rsidRPr="00814236">
        <w:rPr>
          <w:rFonts w:cs="Times New Roman"/>
        </w:rPr>
        <w:t>s</w:t>
      </w:r>
      <w:r w:rsidRPr="00814236">
        <w:rPr>
          <w:rFonts w:cs="Times New Roman"/>
        </w:rPr>
        <w:t xml:space="preserve"> and </w:t>
      </w:r>
      <w:r w:rsidR="00082502" w:rsidRPr="00814236">
        <w:rPr>
          <w:rFonts w:cs="Times New Roman"/>
        </w:rPr>
        <w:t>the state of the energy stored</w:t>
      </w:r>
      <w:r w:rsidR="001809D2" w:rsidRPr="00814236">
        <w:rPr>
          <w:rFonts w:cs="Times New Roman"/>
        </w:rPr>
        <w:t xml:space="preserve"> are</w:t>
      </w:r>
      <w:r w:rsidR="00082502" w:rsidRPr="00814236">
        <w:rPr>
          <w:rFonts w:cs="Times New Roman"/>
        </w:rPr>
        <w:t xml:space="preserve"> represented by x</w:t>
      </w:r>
      <w:r w:rsidR="001809D2" w:rsidRPr="00814236">
        <w:rPr>
          <w:rFonts w:cs="Times New Roman"/>
        </w:rPr>
        <w:t xml:space="preserve">: </w:t>
      </w:r>
    </w:p>
    <w:p w14:paraId="3182F4AB" w14:textId="00E8FF34" w:rsidR="001809D2" w:rsidRPr="00814236" w:rsidRDefault="001809D2" w:rsidP="00141F1C">
      <w:pPr>
        <w:rPr>
          <w:rFonts w:eastAsiaTheme="minorEastAsia" w:cs="Times New Roman"/>
        </w:rPr>
      </w:pPr>
      <m:oMathPara>
        <m:oMath>
          <m:r>
            <w:rPr>
              <w:rFonts w:ascii="Cambria Math" w:hAnsi="Cambria Math" w:cs="Times New Roman"/>
            </w:rPr>
            <m:t>x=</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av</m:t>
                        </m:r>
                      </m:sub>
                    </m:sSub>
                  </m:e>
                </m:mr>
                <m:mr>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in</m:t>
                        </m:r>
                      </m:sub>
                    </m:sSub>
                  </m:e>
                </m:mr>
                <m:mr>
                  <m:e>
                    <m:m>
                      <m:mPr>
                        <m:mcs>
                          <m:mc>
                            <m:mcPr>
                              <m:count m:val="1"/>
                              <m:mcJc m:val="center"/>
                            </m:mcPr>
                          </m:mc>
                        </m:mcs>
                        <m:ctrlPr>
                          <w:rPr>
                            <w:rFonts w:ascii="Cambria Math" w:hAnsi="Cambria Math" w:cs="Times New Roman"/>
                            <w:i/>
                          </w:rPr>
                        </m:ctrlPr>
                      </m:mPr>
                      <m:mr>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out</m:t>
                              </m:r>
                            </m:sub>
                          </m:sSub>
                        </m:e>
                      </m:mr>
                      <m:mr>
                        <m:e>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tank</m:t>
                              </m:r>
                            </m:sub>
                          </m:sSub>
                        </m:e>
                      </m:mr>
                    </m:m>
                  </m:e>
                </m:mr>
              </m:m>
            </m:e>
          </m:d>
        </m:oMath>
      </m:oMathPara>
    </w:p>
    <w:p w14:paraId="07F110ED" w14:textId="3B3C1CA9" w:rsidR="001809D2" w:rsidRPr="00814236" w:rsidRDefault="00814236" w:rsidP="00141F1C">
      <w:pPr>
        <w:rPr>
          <w:rFonts w:cs="Times New Roman"/>
          <w:sz w:val="20"/>
          <w:szCs w:val="20"/>
        </w:rPr>
      </w:pPr>
      <w:r w:rsidRPr="00A907D5">
        <w:rPr>
          <w:rFonts w:cs="Times New Roman"/>
          <w:sz w:val="20"/>
          <w:szCs w:val="20"/>
        </w:rPr>
        <w:t>where</w:t>
      </w:r>
      <w:r w:rsidR="001809D2" w:rsidRPr="00A907D5">
        <w:rPr>
          <w:rFonts w:cs="Times New Roman"/>
          <w:sz w:val="20"/>
          <w:szCs w:val="20"/>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T</m:t>
            </m:r>
          </m:e>
          <m:sub>
            <m:r>
              <w:rPr>
                <w:rFonts w:ascii="Cambria Math" w:hAnsi="Cambria Math" w:cs="Times New Roman"/>
                <w:sz w:val="20"/>
                <w:szCs w:val="20"/>
              </w:rPr>
              <m:t xml:space="preserve">av </m:t>
            </m:r>
          </m:sub>
        </m:sSub>
      </m:oMath>
      <w:r w:rsidR="001809D2" w:rsidRPr="00A907D5">
        <w:rPr>
          <w:rFonts w:cs="Times New Roman"/>
          <w:sz w:val="20"/>
          <w:szCs w:val="20"/>
        </w:rPr>
        <w:t xml:space="preserve">is the average temperature of the tank, </w:t>
      </w:r>
      <m:oMath>
        <m:sSub>
          <m:sSubPr>
            <m:ctrlPr>
              <w:rPr>
                <w:rFonts w:ascii="Cambria Math" w:hAnsi="Cambria Math" w:cs="Times New Roman"/>
                <w:i/>
                <w:sz w:val="20"/>
                <w:szCs w:val="20"/>
              </w:rPr>
            </m:ctrlPr>
          </m:sSubPr>
          <m:e>
            <m:r>
              <w:rPr>
                <w:rFonts w:ascii="Cambria Math" w:hAnsi="Cambria Math" w:cs="Times New Roman"/>
                <w:sz w:val="20"/>
                <w:szCs w:val="20"/>
              </w:rPr>
              <m:t>T</m:t>
            </m:r>
          </m:e>
          <m:sub>
            <m:r>
              <w:rPr>
                <w:rFonts w:ascii="Cambria Math" w:hAnsi="Cambria Math" w:cs="Times New Roman"/>
                <w:sz w:val="20"/>
                <w:szCs w:val="20"/>
              </w:rPr>
              <m:t>in</m:t>
            </m:r>
          </m:sub>
        </m:sSub>
      </m:oMath>
      <w:r w:rsidR="001809D2" w:rsidRPr="00A907D5">
        <w:rPr>
          <w:rFonts w:cs="Times New Roman"/>
          <w:sz w:val="20"/>
          <w:szCs w:val="20"/>
        </w:rPr>
        <w:t xml:space="preserve"> is the temperature of the mass flow into the tank, </w:t>
      </w:r>
      <m:oMath>
        <m:sSub>
          <m:sSubPr>
            <m:ctrlPr>
              <w:rPr>
                <w:rFonts w:ascii="Cambria Math" w:hAnsi="Cambria Math" w:cs="Times New Roman"/>
                <w:i/>
                <w:sz w:val="20"/>
                <w:szCs w:val="20"/>
              </w:rPr>
            </m:ctrlPr>
          </m:sSubPr>
          <m:e>
            <m:r>
              <w:rPr>
                <w:rFonts w:ascii="Cambria Math" w:hAnsi="Cambria Math" w:cs="Times New Roman"/>
                <w:sz w:val="20"/>
                <w:szCs w:val="20"/>
              </w:rPr>
              <m:t>T</m:t>
            </m:r>
          </m:e>
          <m:sub>
            <m:r>
              <w:rPr>
                <w:rFonts w:ascii="Cambria Math" w:hAnsi="Cambria Math" w:cs="Times New Roman"/>
                <w:sz w:val="20"/>
                <w:szCs w:val="20"/>
              </w:rPr>
              <m:t>out</m:t>
            </m:r>
          </m:sub>
        </m:sSub>
      </m:oMath>
      <w:r w:rsidR="001809D2" w:rsidRPr="00A907D5">
        <w:rPr>
          <w:rFonts w:cs="Times New Roman"/>
          <w:sz w:val="20"/>
          <w:szCs w:val="20"/>
        </w:rPr>
        <w:t xml:space="preserve"> is the temperature of the mass flow out of the tank, and </w:t>
      </w:r>
      <m:oMath>
        <m:sSub>
          <m:sSubPr>
            <m:ctrlPr>
              <w:rPr>
                <w:rFonts w:ascii="Cambria Math" w:hAnsi="Cambria Math" w:cs="Times New Roman"/>
                <w:i/>
                <w:sz w:val="20"/>
                <w:szCs w:val="20"/>
              </w:rPr>
            </m:ctrlPr>
          </m:sSubPr>
          <m:e>
            <m:r>
              <w:rPr>
                <w:rFonts w:ascii="Cambria Math" w:hAnsi="Cambria Math" w:cs="Times New Roman"/>
                <w:sz w:val="20"/>
                <w:szCs w:val="20"/>
              </w:rPr>
              <m:t>Q</m:t>
            </m:r>
          </m:e>
          <m:sub>
            <m:r>
              <w:rPr>
                <w:rFonts w:ascii="Cambria Math" w:hAnsi="Cambria Math" w:cs="Times New Roman"/>
                <w:sz w:val="20"/>
                <w:szCs w:val="20"/>
              </w:rPr>
              <m:t>tank</m:t>
            </m:r>
          </m:sub>
        </m:sSub>
      </m:oMath>
      <w:r w:rsidR="001809D2" w:rsidRPr="00A907D5">
        <w:rPr>
          <w:rFonts w:cs="Times New Roman"/>
          <w:sz w:val="20"/>
          <w:szCs w:val="20"/>
        </w:rPr>
        <w:t xml:space="preserve"> is the energy stored in the tank. </w:t>
      </w:r>
    </w:p>
    <w:p w14:paraId="7C8B3F8E" w14:textId="05122F37" w:rsidR="00814236" w:rsidRPr="00814236" w:rsidRDefault="00814236" w:rsidP="00141F1C">
      <w:pPr>
        <w:rPr>
          <w:rFonts w:cs="Times New Roman"/>
          <w:sz w:val="20"/>
          <w:szCs w:val="20"/>
        </w:rPr>
      </w:pPr>
    </w:p>
    <w:p w14:paraId="25A9F194" w14:textId="77777777" w:rsidR="00814236" w:rsidRPr="00A907D5" w:rsidRDefault="00814236" w:rsidP="00141F1C">
      <w:pPr>
        <w:rPr>
          <w:rFonts w:cs="Times New Roman"/>
          <w:sz w:val="20"/>
          <w:szCs w:val="20"/>
        </w:rPr>
      </w:pPr>
    </w:p>
    <w:p w14:paraId="46230E8B" w14:textId="77777777" w:rsidR="001809D2" w:rsidRPr="00814236" w:rsidRDefault="001809D2" w:rsidP="00141F1C">
      <w:pPr>
        <w:rPr>
          <w:rFonts w:cs="Times New Roman"/>
        </w:rPr>
      </w:pPr>
      <w:r w:rsidRPr="00814236">
        <w:rPr>
          <w:rFonts w:cs="Times New Roman"/>
        </w:rPr>
        <w:t>The state matrix A is defined as:</w:t>
      </w:r>
    </w:p>
    <w:p w14:paraId="49F1B80C" w14:textId="0622EBDA" w:rsidR="001809D2" w:rsidRPr="00814236" w:rsidRDefault="001809D2" w:rsidP="00141F1C">
      <w:pPr>
        <w:rPr>
          <w:rFonts w:cs="Times New Roman"/>
        </w:rPr>
      </w:pPr>
      <w:r w:rsidRPr="00814236">
        <w:rPr>
          <w:rFonts w:cs="Times New Roman"/>
        </w:rPr>
        <w:lastRenderedPageBreak/>
        <w:t xml:space="preserve"> </w:t>
      </w:r>
    </w:p>
    <w:p w14:paraId="592E7E1F" w14:textId="77777777" w:rsidR="001809D2" w:rsidRPr="00814236" w:rsidRDefault="001809D2" w:rsidP="00141F1C">
      <w:pPr>
        <w:rPr>
          <w:rFonts w:cs="Times New Roman"/>
          <w:i/>
        </w:rPr>
      </w:pPr>
      <m:oMathPara>
        <m:oMath>
          <m:r>
            <w:rPr>
              <w:rFonts w:ascii="Cambria Math" w:hAnsi="Cambria Math" w:cs="Times New Roman"/>
            </w:rPr>
            <m:t>A=</m:t>
          </m:r>
          <m:d>
            <m:dPr>
              <m:begChr m:val="["/>
              <m:endChr m:val="]"/>
              <m:ctrlPr>
                <w:rPr>
                  <w:rFonts w:ascii="Cambria Math" w:hAnsi="Cambria Math" w:cs="Times New Roman"/>
                  <w:i/>
                </w:rPr>
              </m:ctrlPr>
            </m:dPr>
            <m:e>
              <m:m>
                <m:mPr>
                  <m:mcs>
                    <m:mc>
                      <m:mcPr>
                        <m:count m:val="4"/>
                        <m:mcJc m:val="center"/>
                      </m:mcPr>
                    </m:mc>
                  </m:mcs>
                  <m:ctrlPr>
                    <w:rPr>
                      <w:rFonts w:ascii="Cambria Math" w:hAnsi="Cambria Math" w:cs="Times New Roman"/>
                      <w:i/>
                    </w:rPr>
                  </m:ctrlPr>
                </m:mPr>
                <m:mr>
                  <m:e>
                    <m:r>
                      <w:rPr>
                        <w:rFonts w:ascii="Cambria Math" w:hAnsi="Cambria Math" w:cs="Times New Roman"/>
                      </w:rPr>
                      <m:t>0</m:t>
                    </m:r>
                  </m:e>
                  <m:e>
                    <m:r>
                      <w:rPr>
                        <w:rFonts w:ascii="Cambria Math" w:hAnsi="Cambria Math" w:cs="Times New Roman"/>
                      </w:rPr>
                      <m:t>0</m:t>
                    </m:r>
                  </m:e>
                  <m:e>
                    <m:r>
                      <w:rPr>
                        <w:rFonts w:ascii="Cambria Math" w:hAnsi="Cambria Math" w:cs="Times New Roman"/>
                      </w:rPr>
                      <m:t>0</m:t>
                    </m:r>
                  </m:e>
                  <m:e>
                    <m:f>
                      <m:fPr>
                        <m:ctrlPr>
                          <w:rPr>
                            <w:rFonts w:ascii="Cambria Math" w:hAnsi="Cambria Math" w:cs="Times New Roman"/>
                            <w:i/>
                          </w:rPr>
                        </m:ctrlPr>
                      </m:fPr>
                      <m:num>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tank</m:t>
                            </m:r>
                          </m:sub>
                        </m:sSub>
                        <m:r>
                          <w:rPr>
                            <w:rFonts w:ascii="Cambria Math" w:hAnsi="Cambria Math" w:cs="Times New Roman"/>
                          </w:rPr>
                          <m:t>*c</m:t>
                        </m:r>
                      </m:den>
                    </m:f>
                  </m:e>
                </m:mr>
                <m:mr>
                  <m:e>
                    <m:r>
                      <w:rPr>
                        <w:rFonts w:ascii="Cambria Math" w:hAnsi="Cambria Math" w:cs="Times New Roman"/>
                      </w:rPr>
                      <m:t>0</m:t>
                    </m:r>
                  </m:e>
                  <m:e>
                    <m:r>
                      <w:rPr>
                        <w:rFonts w:ascii="Cambria Math" w:hAnsi="Cambria Math" w:cs="Times New Roman"/>
                      </w:rPr>
                      <m:t>1</m:t>
                    </m:r>
                  </m:e>
                  <m:e>
                    <m:r>
                      <w:rPr>
                        <w:rFonts w:ascii="Cambria Math" w:hAnsi="Cambria Math" w:cs="Times New Roman"/>
                      </w:rPr>
                      <m:t>0</m:t>
                    </m:r>
                  </m:e>
                  <m:e>
                    <m:r>
                      <w:rPr>
                        <w:rFonts w:ascii="Cambria Math" w:hAnsi="Cambria Math" w:cs="Times New Roman"/>
                      </w:rPr>
                      <m:t>0</m:t>
                    </m:r>
                  </m:e>
                </m:mr>
                <m:mr>
                  <m:e>
                    <m:r>
                      <w:rPr>
                        <w:rFonts w:ascii="Cambria Math" w:hAnsi="Cambria Math" w:cs="Times New Roman"/>
                      </w:rPr>
                      <m:t>0</m:t>
                    </m:r>
                  </m:e>
                  <m:e>
                    <m:r>
                      <w:rPr>
                        <w:rFonts w:ascii="Cambria Math" w:hAnsi="Cambria Math" w:cs="Times New Roman"/>
                      </w:rPr>
                      <m:t>0</m:t>
                    </m:r>
                  </m:e>
                  <m:e>
                    <m:r>
                      <w:rPr>
                        <w:rFonts w:ascii="Cambria Math" w:hAnsi="Cambria Math" w:cs="Times New Roman"/>
                      </w:rPr>
                      <m:t>1</m:t>
                    </m:r>
                  </m:e>
                  <m:e>
                    <m:r>
                      <w:rPr>
                        <w:rFonts w:ascii="Cambria Math" w:hAnsi="Cambria Math" w:cs="Times New Roman"/>
                      </w:rPr>
                      <m:t>0</m:t>
                    </m:r>
                  </m:e>
                </m:mr>
                <m:mr>
                  <m:e>
                    <m:r>
                      <w:rPr>
                        <w:rFonts w:ascii="Cambria Math" w:hAnsi="Cambria Math" w:cs="Times New Roman"/>
                      </w:rPr>
                      <m:t>0</m:t>
                    </m:r>
                  </m:e>
                  <m:e>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out</m:t>
                        </m:r>
                      </m:sub>
                    </m:sSub>
                    <m:r>
                      <w:rPr>
                        <w:rFonts w:ascii="Cambria Math" w:hAnsi="Cambria Math" w:cs="Times New Roman"/>
                      </w:rPr>
                      <m:t>*c</m:t>
                    </m:r>
                  </m:e>
                  <m:e>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out</m:t>
                        </m:r>
                      </m:sub>
                    </m:sSub>
                    <m:r>
                      <w:rPr>
                        <w:rFonts w:ascii="Cambria Math" w:hAnsi="Cambria Math" w:cs="Times New Roman"/>
                      </w:rPr>
                      <m:t>*c</m:t>
                    </m:r>
                  </m:e>
                  <m:e>
                    <m:r>
                      <w:rPr>
                        <w:rFonts w:ascii="Cambria Math" w:hAnsi="Cambria Math" w:cs="Times New Roman"/>
                      </w:rPr>
                      <m:t>1</m:t>
                    </m:r>
                  </m:e>
                </m:mr>
              </m:m>
            </m:e>
          </m:d>
        </m:oMath>
      </m:oMathPara>
    </w:p>
    <w:p w14:paraId="7C973149" w14:textId="77777777" w:rsidR="00814236" w:rsidRPr="00A907D5" w:rsidRDefault="001809D2" w:rsidP="00141F1C">
      <w:pPr>
        <w:rPr>
          <w:rFonts w:cs="Times New Roman"/>
          <w:sz w:val="20"/>
          <w:szCs w:val="20"/>
        </w:rPr>
      </w:pPr>
      <w:r w:rsidRPr="00A907D5">
        <w:rPr>
          <w:rFonts w:cs="Times New Roman"/>
          <w:sz w:val="20"/>
          <w:szCs w:val="20"/>
        </w:rPr>
        <w:t xml:space="preserve">where </w:t>
      </w:r>
      <m:oMath>
        <m:sSub>
          <m:sSubPr>
            <m:ctrlPr>
              <w:rPr>
                <w:rFonts w:ascii="Cambria Math" w:hAnsi="Cambria Math" w:cs="Times New Roman"/>
                <w:i/>
                <w:sz w:val="20"/>
                <w:szCs w:val="20"/>
              </w:rPr>
            </m:ctrlPr>
          </m:sSubPr>
          <m:e>
            <m:r>
              <w:rPr>
                <w:rFonts w:ascii="Cambria Math" w:hAnsi="Cambria Math" w:cs="Times New Roman"/>
                <w:sz w:val="20"/>
                <w:szCs w:val="20"/>
              </w:rPr>
              <m:t>m</m:t>
            </m:r>
          </m:e>
          <m:sub>
            <m:r>
              <w:rPr>
                <w:rFonts w:ascii="Cambria Math" w:hAnsi="Cambria Math" w:cs="Times New Roman"/>
                <w:sz w:val="20"/>
                <w:szCs w:val="20"/>
              </w:rPr>
              <m:t>out</m:t>
            </m:r>
          </m:sub>
        </m:sSub>
      </m:oMath>
      <w:r w:rsidRPr="00A907D5">
        <w:rPr>
          <w:rFonts w:cs="Times New Roman"/>
          <w:sz w:val="20"/>
          <w:szCs w:val="20"/>
        </w:rPr>
        <w:t xml:space="preserve"> is the mass flow out, </w:t>
      </w:r>
      <m:oMath>
        <m:sSub>
          <m:sSubPr>
            <m:ctrlPr>
              <w:rPr>
                <w:rFonts w:ascii="Cambria Math" w:hAnsi="Cambria Math" w:cs="Times New Roman"/>
                <w:i/>
                <w:sz w:val="20"/>
                <w:szCs w:val="20"/>
              </w:rPr>
            </m:ctrlPr>
          </m:sSubPr>
          <m:e>
            <m:r>
              <w:rPr>
                <w:rFonts w:ascii="Cambria Math" w:hAnsi="Cambria Math" w:cs="Times New Roman"/>
                <w:sz w:val="20"/>
                <w:szCs w:val="20"/>
              </w:rPr>
              <m:t>m</m:t>
            </m:r>
          </m:e>
          <m:sub>
            <m:r>
              <w:rPr>
                <w:rFonts w:ascii="Cambria Math" w:hAnsi="Cambria Math" w:cs="Times New Roman"/>
                <w:sz w:val="20"/>
                <w:szCs w:val="20"/>
              </w:rPr>
              <m:t>tank</m:t>
            </m:r>
          </m:sub>
        </m:sSub>
      </m:oMath>
      <w:r w:rsidRPr="00A907D5">
        <w:rPr>
          <w:rFonts w:cs="Times New Roman"/>
          <w:sz w:val="20"/>
          <w:szCs w:val="20"/>
        </w:rPr>
        <w:t xml:space="preserve"> is equal to the mass stored in the tank, and </w:t>
      </w:r>
      <m:oMath>
        <m:r>
          <w:rPr>
            <w:rFonts w:ascii="Cambria Math" w:hAnsi="Cambria Math" w:cs="Times New Roman"/>
            <w:sz w:val="20"/>
            <w:szCs w:val="20"/>
          </w:rPr>
          <m:t>c</m:t>
        </m:r>
      </m:oMath>
      <w:r w:rsidRPr="00A907D5">
        <w:rPr>
          <w:rFonts w:cs="Times New Roman"/>
          <w:sz w:val="20"/>
          <w:szCs w:val="20"/>
        </w:rPr>
        <w:t xml:space="preserve"> is the specific heat of the fluid in the </w:t>
      </w:r>
      <w:proofErr w:type="gramStart"/>
      <w:r w:rsidRPr="00A907D5">
        <w:rPr>
          <w:rFonts w:cs="Times New Roman"/>
          <w:sz w:val="20"/>
          <w:szCs w:val="20"/>
        </w:rPr>
        <w:t>tank.</w:t>
      </w:r>
      <w:proofErr w:type="gramEnd"/>
      <w:r w:rsidRPr="00A907D5">
        <w:rPr>
          <w:rFonts w:cs="Times New Roman"/>
          <w:sz w:val="20"/>
          <w:szCs w:val="20"/>
        </w:rPr>
        <w:t xml:space="preserve"> </w:t>
      </w:r>
    </w:p>
    <w:p w14:paraId="080C2736" w14:textId="0C2446A8" w:rsidR="00F021CF" w:rsidRPr="00814236" w:rsidRDefault="00F021CF" w:rsidP="00141F1C">
      <w:pPr>
        <w:rPr>
          <w:rFonts w:cs="Times New Roman"/>
        </w:rPr>
      </w:pPr>
      <w:r w:rsidRPr="00814236">
        <w:rPr>
          <w:rFonts w:cs="Times New Roman"/>
        </w:rPr>
        <w:t>The general equation that is used to calculate the temperatures or energy content is given by the first law of thermodynamics</w:t>
      </w:r>
      <w:r w:rsidR="00814236" w:rsidRPr="00814236">
        <w:rPr>
          <w:rFonts w:cs="Times New Roman"/>
        </w:rPr>
        <w:t>, which is given as follows</w:t>
      </w:r>
      <w:r w:rsidRPr="00814236">
        <w:rPr>
          <w:rFonts w:cs="Times New Roman"/>
        </w:rPr>
        <w:t>:</w:t>
      </w:r>
    </w:p>
    <w:p w14:paraId="67A95C54" w14:textId="0F9C84F5" w:rsidR="001809D2" w:rsidRPr="00814236" w:rsidRDefault="00F021CF" w:rsidP="00141F1C">
      <w:pPr>
        <w:jc w:val="center"/>
        <w:rPr>
          <w:rFonts w:cs="Times New Roman"/>
        </w:rPr>
      </w:pPr>
      <m:oMathPara>
        <m:oMath>
          <m:r>
            <w:rPr>
              <w:rFonts w:ascii="Cambria Math" w:hAnsi="Cambria Math" w:cs="Times New Roman"/>
            </w:rPr>
            <m:t>∆Q=m c ∆T</m:t>
          </m:r>
        </m:oMath>
      </m:oMathPara>
    </w:p>
    <w:p w14:paraId="6747E006" w14:textId="1B69E67B" w:rsidR="001809D2" w:rsidRPr="00814236" w:rsidRDefault="001809D2" w:rsidP="00141F1C">
      <w:pPr>
        <w:rPr>
          <w:rFonts w:cs="Times New Roman"/>
        </w:rPr>
      </w:pPr>
      <w:r w:rsidRPr="00814236">
        <w:rPr>
          <w:rFonts w:cs="Times New Roman"/>
        </w:rPr>
        <w:t xml:space="preserve">The </w:t>
      </w:r>
      <w:r w:rsidR="00FC3AE6" w:rsidRPr="00814236">
        <w:rPr>
          <w:rFonts w:cs="Times New Roman"/>
        </w:rPr>
        <w:t xml:space="preserve">maximal </w:t>
      </w:r>
      <w:r w:rsidRPr="00814236">
        <w:rPr>
          <w:rFonts w:cs="Times New Roman"/>
        </w:rPr>
        <w:t>electrical energy that is delivered to the electrical heater is defined as the input u:</w:t>
      </w:r>
    </w:p>
    <w:p w14:paraId="4B6A3A65" w14:textId="7582C6B4" w:rsidR="001809D2" w:rsidRPr="00814236" w:rsidRDefault="001809D2" w:rsidP="00141F1C">
      <w:pPr>
        <w:autoSpaceDE w:val="0"/>
        <w:autoSpaceDN w:val="0"/>
        <w:adjustRightInd w:val="0"/>
        <w:rPr>
          <w:rFonts w:cs="Times New Roman"/>
          <w:i/>
        </w:rPr>
      </w:pPr>
      <m:oMathPara>
        <m:oMath>
          <m:r>
            <w:rPr>
              <w:rFonts w:ascii="Cambria Math" w:hAnsi="Cambria Math" w:cs="Times New Roman"/>
            </w:rPr>
            <m:t xml:space="preserve">u= </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E</m:t>
                  </m:r>
                </m:sub>
              </m:sSub>
            </m:e>
          </m:d>
        </m:oMath>
      </m:oMathPara>
    </w:p>
    <w:p w14:paraId="454F03F7" w14:textId="6E374B90" w:rsidR="001809D2" w:rsidRPr="00A907D5" w:rsidRDefault="001809D2" w:rsidP="00141F1C">
      <w:pPr>
        <w:rPr>
          <w:rFonts w:cs="Times New Roman"/>
          <w:sz w:val="20"/>
          <w:szCs w:val="20"/>
        </w:rPr>
      </w:pPr>
      <w:r w:rsidRPr="00A907D5">
        <w:rPr>
          <w:rFonts w:cs="Times New Roman"/>
          <w:sz w:val="20"/>
          <w:szCs w:val="20"/>
        </w:rPr>
        <w:t xml:space="preserve">where </w:t>
      </w:r>
      <m:oMath>
        <m:sSub>
          <m:sSubPr>
            <m:ctrlPr>
              <w:rPr>
                <w:rFonts w:ascii="Cambria Math" w:hAnsi="Cambria Math" w:cs="Times New Roman"/>
                <w:i/>
                <w:sz w:val="20"/>
                <w:szCs w:val="20"/>
              </w:rPr>
            </m:ctrlPr>
          </m:sSubPr>
          <m:e>
            <m:r>
              <w:rPr>
                <w:rFonts w:ascii="Cambria Math" w:hAnsi="Cambria Math" w:cs="Times New Roman"/>
                <w:sz w:val="20"/>
                <w:szCs w:val="20"/>
              </w:rPr>
              <m:t>Q</m:t>
            </m:r>
          </m:e>
          <m:sub>
            <m:r>
              <w:rPr>
                <w:rFonts w:ascii="Cambria Math" w:hAnsi="Cambria Math" w:cs="Times New Roman"/>
                <w:sz w:val="20"/>
                <w:szCs w:val="20"/>
              </w:rPr>
              <m:t>E</m:t>
            </m:r>
          </m:sub>
        </m:sSub>
      </m:oMath>
      <w:r w:rsidRPr="00A907D5">
        <w:rPr>
          <w:rFonts w:cs="Times New Roman"/>
          <w:sz w:val="20"/>
          <w:szCs w:val="20"/>
        </w:rPr>
        <w:t xml:space="preserve"> is the </w:t>
      </w:r>
      <w:r w:rsidR="00FC3AE6" w:rsidRPr="00A907D5">
        <w:rPr>
          <w:rFonts w:cs="Times New Roman"/>
          <w:sz w:val="20"/>
          <w:szCs w:val="20"/>
        </w:rPr>
        <w:t xml:space="preserve">maximal </w:t>
      </w:r>
      <w:r w:rsidRPr="00A907D5">
        <w:rPr>
          <w:rFonts w:cs="Times New Roman"/>
          <w:sz w:val="20"/>
          <w:szCs w:val="20"/>
        </w:rPr>
        <w:t xml:space="preserve">electrical energy that feeds the electrical heater, which then feeds heat to the tank with a defined efficiency of 100 %. This means that the energy that is fed to the electrical heater is transferred without any loss towards the water in the tank. </w:t>
      </w:r>
    </w:p>
    <w:p w14:paraId="0357FB51" w14:textId="77777777" w:rsidR="001809D2" w:rsidRPr="00814236" w:rsidRDefault="001809D2" w:rsidP="00141F1C">
      <w:pPr>
        <w:rPr>
          <w:rFonts w:cs="Times New Roman"/>
        </w:rPr>
      </w:pPr>
      <w:r w:rsidRPr="00814236">
        <w:rPr>
          <w:rFonts w:cs="Times New Roman"/>
        </w:rPr>
        <w:t xml:space="preserve">The control matrix B (here depicted as the transpose B’) is defined as: </w:t>
      </w:r>
    </w:p>
    <w:p w14:paraId="61510B12" w14:textId="691824A2" w:rsidR="001809D2" w:rsidRPr="00814236" w:rsidRDefault="00191AEA" w:rsidP="00141F1C">
      <w:pPr>
        <w:autoSpaceDE w:val="0"/>
        <w:autoSpaceDN w:val="0"/>
        <w:adjustRightInd w:val="0"/>
        <w:rPr>
          <w:rFonts w:eastAsiaTheme="minorEastAsia" w:cs="Times New Roman"/>
          <w:color w:val="000000"/>
        </w:rPr>
      </w:pPr>
      <m:oMathPara>
        <m:oMath>
          <m:sSup>
            <m:sSupPr>
              <m:ctrlPr>
                <w:rPr>
                  <w:rFonts w:ascii="Cambria Math" w:hAnsi="Cambria Math" w:cs="Times New Roman"/>
                  <w:i/>
                  <w:color w:val="000000"/>
                </w:rPr>
              </m:ctrlPr>
            </m:sSupPr>
            <m:e>
              <m:r>
                <w:rPr>
                  <w:rFonts w:ascii="Cambria Math" w:hAnsi="Cambria Math" w:cs="Times New Roman"/>
                  <w:color w:val="000000"/>
                </w:rPr>
                <m:t>B</m:t>
              </m:r>
            </m:e>
            <m:sup>
              <m:r>
                <w:rPr>
                  <w:rFonts w:ascii="Cambria Math" w:hAnsi="Cambria Math" w:cs="Times New Roman"/>
                  <w:color w:val="000000"/>
                </w:rPr>
                <m:t>'</m:t>
              </m:r>
            </m:sup>
          </m:sSup>
          <m:r>
            <w:rPr>
              <w:rFonts w:ascii="Cambria Math" w:hAnsi="Cambria Math" w:cs="Times New Roman"/>
              <w:color w:val="000000"/>
            </w:rPr>
            <m:t>=</m:t>
          </m:r>
          <m:d>
            <m:dPr>
              <m:begChr m:val="["/>
              <m:endChr m:val="]"/>
              <m:ctrlPr>
                <w:rPr>
                  <w:rFonts w:ascii="Cambria Math" w:hAnsi="Cambria Math" w:cs="Times New Roman"/>
                  <w:i/>
                  <w:color w:val="000000"/>
                </w:rPr>
              </m:ctrlPr>
            </m:dPr>
            <m:e>
              <m:m>
                <m:mPr>
                  <m:mcs>
                    <m:mc>
                      <m:mcPr>
                        <m:count m:val="4"/>
                        <m:mcJc m:val="center"/>
                      </m:mcPr>
                    </m:mc>
                  </m:mcs>
                  <m:ctrlPr>
                    <w:rPr>
                      <w:rFonts w:ascii="Cambria Math" w:hAnsi="Cambria Math" w:cs="Times New Roman"/>
                      <w:i/>
                      <w:color w:val="000000"/>
                    </w:rPr>
                  </m:ctrlPr>
                </m:mPr>
                <m:mr>
                  <m:e>
                    <m:r>
                      <w:rPr>
                        <w:rFonts w:ascii="Cambria Math" w:hAnsi="Cambria Math" w:cs="Times New Roman"/>
                        <w:color w:val="000000"/>
                      </w:rPr>
                      <m:t>0</m:t>
                    </m:r>
                  </m:e>
                  <m:e>
                    <m:r>
                      <w:rPr>
                        <w:rFonts w:ascii="Cambria Math" w:hAnsi="Cambria Math" w:cs="Times New Roman"/>
                        <w:color w:val="000000"/>
                      </w:rPr>
                      <m:t>0</m:t>
                    </m:r>
                  </m:e>
                  <m:e>
                    <m:r>
                      <w:rPr>
                        <w:rFonts w:ascii="Cambria Math" w:hAnsi="Cambria Math" w:cs="Times New Roman"/>
                        <w:color w:val="000000"/>
                      </w:rPr>
                      <m:t>0</m:t>
                    </m:r>
                  </m:e>
                  <m:e>
                    <m:func>
                      <m:funcPr>
                        <m:ctrlPr>
                          <w:rPr>
                            <w:rFonts w:ascii="Cambria Math" w:hAnsi="Cambria Math" w:cs="Times New Roman"/>
                            <w:color w:val="000000"/>
                          </w:rPr>
                        </m:ctrlPr>
                      </m:funcPr>
                      <m:fName>
                        <m:r>
                          <m:rPr>
                            <m:sty m:val="p"/>
                          </m:rPr>
                          <w:rPr>
                            <w:rFonts w:ascii="Cambria Math" w:hAnsi="Cambria Math" w:cs="Times New Roman"/>
                            <w:color w:val="000000"/>
                          </w:rPr>
                          <m:t>min</m:t>
                        </m:r>
                      </m:fName>
                      <m:e>
                        <m:d>
                          <m:dPr>
                            <m:ctrlPr>
                              <w:rPr>
                                <w:rFonts w:ascii="Cambria Math" w:hAnsi="Cambria Math" w:cs="Times New Roman"/>
                                <w:i/>
                                <w:color w:val="000000"/>
                              </w:rPr>
                            </m:ctrlPr>
                          </m:dPr>
                          <m:e>
                            <m:f>
                              <m:fPr>
                                <m:ctrlPr>
                                  <w:rPr>
                                    <w:rFonts w:ascii="Cambria Math" w:hAnsi="Cambria Math" w:cs="Times New Roman"/>
                                    <w:i/>
                                    <w:color w:val="000000"/>
                                  </w:rPr>
                                </m:ctrlPr>
                              </m:fPr>
                              <m:num>
                                <m:d>
                                  <m:dPr>
                                    <m:ctrlPr>
                                      <w:rPr>
                                        <w:rFonts w:ascii="Cambria Math" w:hAnsi="Cambria Math" w:cs="Times New Roman"/>
                                        <w:i/>
                                        <w:color w:val="000000"/>
                                      </w:rPr>
                                    </m:ctrlPr>
                                  </m:dPr>
                                  <m:e>
                                    <m:sSub>
                                      <m:sSubPr>
                                        <m:ctrlPr>
                                          <w:rPr>
                                            <w:rFonts w:ascii="Cambria Math" w:hAnsi="Cambria Math" w:cs="Times New Roman"/>
                                            <w:i/>
                                            <w:color w:val="000000"/>
                                          </w:rPr>
                                        </m:ctrlPr>
                                      </m:sSubPr>
                                      <m:e>
                                        <m:r>
                                          <w:rPr>
                                            <w:rFonts w:ascii="Cambria Math" w:hAnsi="Cambria Math" w:cs="Times New Roman"/>
                                            <w:color w:val="000000"/>
                                          </w:rPr>
                                          <m:t>T</m:t>
                                        </m:r>
                                      </m:e>
                                      <m:sub>
                                        <m:r>
                                          <w:rPr>
                                            <w:rFonts w:ascii="Cambria Math" w:hAnsi="Cambria Math" w:cs="Times New Roman"/>
                                            <w:color w:val="000000"/>
                                          </w:rPr>
                                          <m:t>set</m:t>
                                        </m:r>
                                      </m:sub>
                                    </m:sSub>
                                    <m:r>
                                      <w:rPr>
                                        <w:rFonts w:ascii="Cambria Math" w:hAnsi="Cambria Math" w:cs="Times New Roman"/>
                                        <w:color w:val="000000"/>
                                      </w:rPr>
                                      <m:t xml:space="preserve">- </m:t>
                                    </m:r>
                                    <m:sSub>
                                      <m:sSubPr>
                                        <m:ctrlPr>
                                          <w:rPr>
                                            <w:rFonts w:ascii="Cambria Math" w:hAnsi="Cambria Math" w:cs="Times New Roman"/>
                                            <w:i/>
                                            <w:color w:val="000000"/>
                                          </w:rPr>
                                        </m:ctrlPr>
                                      </m:sSubPr>
                                      <m:e>
                                        <m:r>
                                          <w:rPr>
                                            <w:rFonts w:ascii="Cambria Math" w:hAnsi="Cambria Math" w:cs="Times New Roman"/>
                                            <w:color w:val="000000"/>
                                          </w:rPr>
                                          <m:t>T</m:t>
                                        </m:r>
                                      </m:e>
                                      <m:sub>
                                        <m:r>
                                          <w:rPr>
                                            <w:rFonts w:ascii="Cambria Math" w:hAnsi="Cambria Math" w:cs="Times New Roman"/>
                                            <w:color w:val="000000"/>
                                          </w:rPr>
                                          <m:t>tank</m:t>
                                        </m:r>
                                      </m:sub>
                                    </m:sSub>
                                  </m:e>
                                </m:d>
                                <m:r>
                                  <w:rPr>
                                    <w:rFonts w:ascii="Cambria Math" w:hAnsi="Cambria Math" w:cs="Times New Roman"/>
                                    <w:color w:val="000000"/>
                                  </w:rPr>
                                  <m:t xml:space="preserve">* </m:t>
                                </m:r>
                                <m:sSub>
                                  <m:sSubPr>
                                    <m:ctrlPr>
                                      <w:rPr>
                                        <w:rFonts w:ascii="Cambria Math" w:hAnsi="Cambria Math" w:cs="Times New Roman"/>
                                        <w:i/>
                                        <w:color w:val="000000"/>
                                      </w:rPr>
                                    </m:ctrlPr>
                                  </m:sSubPr>
                                  <m:e>
                                    <m:r>
                                      <w:rPr>
                                        <w:rFonts w:ascii="Cambria Math" w:hAnsi="Cambria Math" w:cs="Times New Roman"/>
                                        <w:color w:val="000000"/>
                                      </w:rPr>
                                      <m:t>m</m:t>
                                    </m:r>
                                  </m:e>
                                  <m:sub>
                                    <m:r>
                                      <w:rPr>
                                        <w:rFonts w:ascii="Cambria Math" w:hAnsi="Cambria Math" w:cs="Times New Roman"/>
                                        <w:color w:val="000000"/>
                                      </w:rPr>
                                      <m:t>tank</m:t>
                                    </m:r>
                                  </m:sub>
                                </m:sSub>
                                <m:r>
                                  <w:rPr>
                                    <w:rFonts w:ascii="Cambria Math" w:hAnsi="Cambria Math" w:cs="Times New Roman"/>
                                    <w:color w:val="000000"/>
                                  </w:rPr>
                                  <m:t>*c</m:t>
                                </m:r>
                              </m:num>
                              <m:den>
                                <m:sSub>
                                  <m:sSubPr>
                                    <m:ctrlPr>
                                      <w:rPr>
                                        <w:rFonts w:ascii="Cambria Math" w:hAnsi="Cambria Math" w:cs="Times New Roman"/>
                                        <w:i/>
                                        <w:color w:val="000000"/>
                                      </w:rPr>
                                    </m:ctrlPr>
                                  </m:sSubPr>
                                  <m:e>
                                    <m:r>
                                      <w:rPr>
                                        <w:rFonts w:ascii="Cambria Math" w:hAnsi="Cambria Math" w:cs="Times New Roman"/>
                                        <w:color w:val="000000"/>
                                      </w:rPr>
                                      <m:t>Q</m:t>
                                    </m:r>
                                  </m:e>
                                  <m:sub>
                                    <m:r>
                                      <w:rPr>
                                        <w:rFonts w:ascii="Cambria Math" w:hAnsi="Cambria Math" w:cs="Times New Roman"/>
                                        <w:color w:val="000000"/>
                                      </w:rPr>
                                      <m:t>E</m:t>
                                    </m:r>
                                  </m:sub>
                                </m:sSub>
                              </m:den>
                            </m:f>
                            <m:r>
                              <w:rPr>
                                <w:rFonts w:ascii="Cambria Math" w:hAnsi="Cambria Math" w:cs="Times New Roman"/>
                                <w:color w:val="000000"/>
                              </w:rPr>
                              <m:t>,1</m:t>
                            </m:r>
                          </m:e>
                        </m:d>
                      </m:e>
                    </m:func>
                  </m:e>
                </m:mr>
              </m:m>
            </m:e>
          </m:d>
        </m:oMath>
      </m:oMathPara>
    </w:p>
    <w:p w14:paraId="59AEB963" w14:textId="77777777" w:rsidR="00814236" w:rsidRPr="00A907D5" w:rsidRDefault="001809D2" w:rsidP="00141F1C">
      <w:pPr>
        <w:rPr>
          <w:rFonts w:cs="Times New Roman"/>
          <w:sz w:val="20"/>
          <w:szCs w:val="20"/>
        </w:rPr>
      </w:pPr>
      <w:r w:rsidRPr="00A907D5">
        <w:rPr>
          <w:rFonts w:cs="Times New Roman"/>
          <w:sz w:val="20"/>
          <w:szCs w:val="20"/>
        </w:rPr>
        <w:t xml:space="preserve">where </w:t>
      </w:r>
      <m:oMath>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T</m:t>
            </m:r>
          </m:e>
          <m:sub>
            <m:r>
              <w:rPr>
                <w:rFonts w:ascii="Cambria Math" w:hAnsi="Cambria Math" w:cs="Times New Roman"/>
                <w:color w:val="000000"/>
                <w:sz w:val="20"/>
                <w:szCs w:val="20"/>
              </w:rPr>
              <m:t>set</m:t>
            </m:r>
          </m:sub>
        </m:sSub>
      </m:oMath>
      <w:r w:rsidRPr="00A907D5">
        <w:rPr>
          <w:rFonts w:cs="Times New Roman"/>
          <w:sz w:val="20"/>
          <w:szCs w:val="20"/>
        </w:rPr>
        <w:t xml:space="preserve"> is the setpoint temperature defined by the outcome of the choice</w:t>
      </w:r>
      <w:r w:rsidR="00F021CF" w:rsidRPr="00A907D5">
        <w:rPr>
          <w:rFonts w:cs="Times New Roman"/>
          <w:sz w:val="20"/>
          <w:szCs w:val="20"/>
        </w:rPr>
        <w:t xml:space="preserve"> described below (pseudo-code). </w:t>
      </w:r>
    </w:p>
    <w:p w14:paraId="7D2297AA" w14:textId="10D515B7" w:rsidR="001809D2" w:rsidRPr="00814236" w:rsidRDefault="00F021CF" w:rsidP="00141F1C">
      <w:pPr>
        <w:rPr>
          <w:rFonts w:cs="Times New Roman"/>
        </w:rPr>
      </w:pPr>
      <w:r w:rsidRPr="00814236">
        <w:rPr>
          <w:rFonts w:cs="Times New Roman"/>
        </w:rPr>
        <w:t>In the control matrix B, we calculate the modulation of the maximal power of the heater.</w:t>
      </w:r>
      <w:r w:rsidR="00141F1C" w:rsidRPr="00814236">
        <w:rPr>
          <w:rFonts w:cs="Times New Roman"/>
        </w:rPr>
        <w:t xml:space="preserve"> </w:t>
      </w:r>
    </w:p>
    <w:p w14:paraId="57AC1FD1" w14:textId="7B935FB3" w:rsidR="00BC3EEF" w:rsidRPr="00814236" w:rsidRDefault="00C324E5" w:rsidP="00141F1C">
      <w:pPr>
        <w:rPr>
          <w:rFonts w:cs="Times New Roman"/>
        </w:rPr>
      </w:pPr>
      <w:r w:rsidRPr="00814236">
        <w:rPr>
          <w:rFonts w:cs="Times New Roman"/>
        </w:rPr>
        <w:lastRenderedPageBreak/>
        <w:t>The output of the system (</w:t>
      </w:r>
      <m:oMath>
        <m:r>
          <w:rPr>
            <w:rFonts w:ascii="Cambria Math" w:hAnsi="Cambria Math" w:cs="Times New Roman"/>
          </w:rPr>
          <m:t>y</m:t>
        </m:r>
      </m:oMath>
      <w:r w:rsidRPr="00814236">
        <w:rPr>
          <w:rFonts w:cs="Times New Roman"/>
        </w:rPr>
        <w:t xml:space="preserve">) </w:t>
      </w:r>
      <w:r w:rsidR="001809D2" w:rsidRPr="00814236">
        <w:rPr>
          <w:rFonts w:cs="Times New Roman"/>
        </w:rPr>
        <w:t xml:space="preserve">is </w:t>
      </w:r>
      <w:r w:rsidR="003F49A5" w:rsidRPr="00814236">
        <w:rPr>
          <w:rFonts w:cs="Times New Roman"/>
        </w:rPr>
        <w:t xml:space="preserve">the future average temperature of the tank. </w:t>
      </w:r>
      <w:r w:rsidR="00BC3EEF" w:rsidRPr="00814236">
        <w:rPr>
          <w:rFonts w:cs="Times New Roman"/>
        </w:rPr>
        <w:t>As such</w:t>
      </w:r>
      <w:r w:rsidR="00814236" w:rsidRPr="00814236">
        <w:rPr>
          <w:rFonts w:cs="Times New Roman"/>
        </w:rPr>
        <w:t>,</w:t>
      </w:r>
      <w:r w:rsidR="00BC3EEF" w:rsidRPr="00814236">
        <w:rPr>
          <w:rFonts w:cs="Times New Roman"/>
        </w:rPr>
        <w:t xml:space="preserve"> output matrix C (here in its transposed form C’) is defined as:</w:t>
      </w:r>
    </w:p>
    <w:p w14:paraId="44C091EA" w14:textId="21B7F496" w:rsidR="00F50D6E" w:rsidRPr="00814236" w:rsidRDefault="00191AEA" w:rsidP="00141F1C">
      <w:pPr>
        <w:rPr>
          <w:rFonts w:eastAsiaTheme="minorEastAsia" w:cs="Times New Roman"/>
        </w:rPr>
      </w:pPr>
      <m:oMathPara>
        <m:oMath>
          <m:sSup>
            <m:sSupPr>
              <m:ctrlPr>
                <w:rPr>
                  <w:rFonts w:ascii="Cambria Math" w:hAnsi="Cambria Math" w:cs="Times New Roman"/>
                  <w:i/>
                </w:rPr>
              </m:ctrlPr>
            </m:sSupPr>
            <m:e>
              <m:r>
                <w:rPr>
                  <w:rFonts w:ascii="Cambria Math" w:hAnsi="Cambria Math" w:cs="Times New Roman"/>
                </w:rPr>
                <m:t>C</m:t>
              </m:r>
            </m:e>
            <m:sup>
              <m:r>
                <w:rPr>
                  <w:rFonts w:ascii="Cambria Math" w:hAnsi="Cambria Math" w:cs="Times New Roman"/>
                </w:rPr>
                <m:t>'</m:t>
              </m:r>
            </m:sup>
          </m:sSup>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1 0 0 0</m:t>
              </m:r>
            </m:e>
          </m:d>
        </m:oMath>
      </m:oMathPara>
    </w:p>
    <w:p w14:paraId="332144B4" w14:textId="1FCD541A" w:rsidR="001809D2" w:rsidRDefault="003F49A5" w:rsidP="00141F1C">
      <w:pPr>
        <w:rPr>
          <w:rFonts w:cs="Times New Roman"/>
        </w:rPr>
      </w:pPr>
      <w:r w:rsidRPr="00814236">
        <w:rPr>
          <w:rFonts w:cs="Times New Roman"/>
        </w:rPr>
        <w:t xml:space="preserve">From this predicted temperature, the control signal towards the heater in TRNSYS is calculated. This </w:t>
      </w:r>
      <w:r w:rsidR="001809D2" w:rsidRPr="00814236">
        <w:rPr>
          <w:rFonts w:cs="Times New Roman"/>
        </w:rPr>
        <w:t xml:space="preserve">control signal towards the electrical heater of the TRNSYS model (simulating the real system) modulates the amount of energy delivered to the tank. The output is the effect </w:t>
      </w:r>
      <w:r w:rsidR="00E913E9" w:rsidRPr="00814236">
        <w:rPr>
          <w:rFonts w:cs="Times New Roman"/>
        </w:rPr>
        <w:t>of the EMPC decision on</w:t>
      </w:r>
      <w:r w:rsidR="001809D2" w:rsidRPr="00814236">
        <w:rPr>
          <w:rFonts w:cs="Times New Roman"/>
        </w:rPr>
        <w:t xml:space="preserve"> </w:t>
      </w:r>
      <w:r w:rsidR="00082502" w:rsidRPr="00814236">
        <w:rPr>
          <w:rFonts w:cs="Times New Roman"/>
        </w:rPr>
        <w:t xml:space="preserve">the states of the system </w:t>
      </w:r>
      <w:r w:rsidR="00814236" w:rsidRPr="00814236">
        <w:rPr>
          <w:rFonts w:cs="Times New Roman"/>
        </w:rPr>
        <w:t>(</w:t>
      </w:r>
      <w:r w:rsidR="00082502" w:rsidRPr="00814236">
        <w:rPr>
          <w:rFonts w:cs="Times New Roman"/>
        </w:rPr>
        <w:t xml:space="preserve">i.e. </w:t>
      </w:r>
      <w:r w:rsidR="001809D2" w:rsidRPr="00814236">
        <w:rPr>
          <w:rFonts w:cs="Times New Roman"/>
        </w:rPr>
        <w:t>the consumption on the average temperature of the tank</w:t>
      </w:r>
      <w:r w:rsidR="00082502" w:rsidRPr="00814236">
        <w:rPr>
          <w:rFonts w:cs="Times New Roman"/>
        </w:rPr>
        <w:t xml:space="preserve"> (</w:t>
      </w:r>
      <w:proofErr w:type="spellStart"/>
      <w:r w:rsidR="00082502" w:rsidRPr="00814236">
        <w:rPr>
          <w:rFonts w:cs="Times New Roman"/>
        </w:rPr>
        <w:t>T</w:t>
      </w:r>
      <w:r w:rsidR="00082502" w:rsidRPr="00814236">
        <w:rPr>
          <w:rFonts w:cs="Times New Roman"/>
          <w:vertAlign w:val="subscript"/>
        </w:rPr>
        <w:t>av</w:t>
      </w:r>
      <w:proofErr w:type="spellEnd"/>
      <w:r w:rsidR="00082502" w:rsidRPr="00814236">
        <w:rPr>
          <w:rFonts w:cs="Times New Roman"/>
        </w:rPr>
        <w:t>)</w:t>
      </w:r>
      <w:r w:rsidR="001809D2" w:rsidRPr="00814236">
        <w:rPr>
          <w:rFonts w:cs="Times New Roman"/>
        </w:rPr>
        <w:t xml:space="preserve"> and the energy stored in the tank</w:t>
      </w:r>
      <w:r w:rsidR="00082502" w:rsidRPr="00814236">
        <w:rPr>
          <w:rFonts w:cs="Times New Roman"/>
        </w:rPr>
        <w:t xml:space="preserve"> (</w:t>
      </w:r>
      <w:proofErr w:type="spellStart"/>
      <w:r w:rsidR="00082502" w:rsidRPr="00814236">
        <w:rPr>
          <w:rFonts w:cs="Times New Roman"/>
        </w:rPr>
        <w:t>Q</w:t>
      </w:r>
      <w:r w:rsidR="00082502" w:rsidRPr="00814236">
        <w:rPr>
          <w:rFonts w:cs="Times New Roman"/>
          <w:vertAlign w:val="subscript"/>
        </w:rPr>
        <w:t>heat</w:t>
      </w:r>
      <w:proofErr w:type="spellEnd"/>
      <w:r w:rsidR="00082502" w:rsidRPr="00814236">
        <w:rPr>
          <w:rFonts w:cs="Times New Roman"/>
        </w:rPr>
        <w:t>)</w:t>
      </w:r>
      <w:r w:rsidR="00814236" w:rsidRPr="00814236">
        <w:rPr>
          <w:rFonts w:cs="Times New Roman"/>
        </w:rPr>
        <w:t>)</w:t>
      </w:r>
      <w:r w:rsidR="001809D2" w:rsidRPr="00814236">
        <w:rPr>
          <w:rFonts w:cs="Times New Roman"/>
        </w:rPr>
        <w:t xml:space="preserve">. </w:t>
      </w:r>
      <w:r w:rsidR="00E913E9" w:rsidRPr="00814236">
        <w:rPr>
          <w:rFonts w:cs="Times New Roman"/>
        </w:rPr>
        <w:t xml:space="preserve">The output is calculated iteratively </w:t>
      </w:r>
      <w:r w:rsidR="00814236" w:rsidRPr="00814236">
        <w:rPr>
          <w:rFonts w:cs="Times New Roman"/>
        </w:rPr>
        <w:t xml:space="preserve">at </w:t>
      </w:r>
      <w:r w:rsidR="00E913E9" w:rsidRPr="00814236">
        <w:rPr>
          <w:rFonts w:cs="Times New Roman"/>
        </w:rPr>
        <w:t>each time step during the prediction hor</w:t>
      </w:r>
      <w:r w:rsidR="00E927FA" w:rsidRPr="00814236">
        <w:rPr>
          <w:rFonts w:cs="Times New Roman"/>
        </w:rPr>
        <w:t>i</w:t>
      </w:r>
      <w:r w:rsidR="00814236" w:rsidRPr="00814236">
        <w:rPr>
          <w:rFonts w:cs="Times New Roman"/>
        </w:rPr>
        <w:t>z</w:t>
      </w:r>
      <w:r w:rsidR="00E913E9" w:rsidRPr="00814236">
        <w:rPr>
          <w:rFonts w:cs="Times New Roman"/>
        </w:rPr>
        <w:t>on.</w:t>
      </w:r>
    </w:p>
    <w:p w14:paraId="2D979B84" w14:textId="2320277D" w:rsidR="003C3CA0" w:rsidRDefault="003C3CA0" w:rsidP="00141F1C">
      <w:pPr>
        <w:rPr>
          <w:rFonts w:cs="Times New Roman"/>
        </w:rPr>
      </w:pPr>
      <w:r w:rsidRPr="003C3CA0">
        <w:rPr>
          <w:rFonts w:cs="Times New Roman"/>
        </w:rPr>
        <w:t>From these future states, the future energy consumption of the heater is calculated. This calculation is then combined with information on the cost of energy, the status of the grid, and the revenues for delivering balancing power. The status of the net can be ‘positive imbalance’, which means that there is too much energy on the net (the state of the net is long), or ‘negative imbalance’ when the net is short on energy. The EMPC calculates whether it is economically favourable to change the setpoint temperature of the tank (</w:t>
      </w:r>
      <w:proofErr w:type="spellStart"/>
      <w:r w:rsidRPr="003C3CA0">
        <w:rPr>
          <w:rFonts w:cs="Times New Roman"/>
        </w:rPr>
        <w:t>Tset</w:t>
      </w:r>
      <w:proofErr w:type="spellEnd"/>
      <w:r w:rsidRPr="003C3CA0">
        <w:rPr>
          <w:rFonts w:cs="Times New Roman"/>
        </w:rPr>
        <w:t>) to 40℃ in case of an energy shortage in the transmission net (negative system unbalance), 60℃ (standard operations), or 90℃ in case of a positive system imbalance. The scenario that results in the highest net revenue is used as input to the electric heater.</w:t>
      </w:r>
    </w:p>
    <w:p w14:paraId="32BEE600" w14:textId="4354510F" w:rsidR="009A10F5" w:rsidRPr="00814236" w:rsidRDefault="00191AEA" w:rsidP="00141F1C">
      <w:pPr>
        <w:ind w:left="1985" w:hanging="709"/>
        <w:rPr>
          <w:rFonts w:eastAsiaTheme="minorEastAsia" w:cs="Times New Roman"/>
        </w:rPr>
      </w:pP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set40,i</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av,i</m:t>
            </m:r>
          </m:sub>
        </m:sSub>
        <m:r>
          <w:rPr>
            <w:rFonts w:ascii="Cambria Math" w:hAnsi="Cambria Math" w:cs="Times New Roman"/>
          </w:rPr>
          <m:t>-40)+</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av,i</m:t>
            </m:r>
          </m:sub>
        </m:sSub>
        <m:r>
          <w:rPr>
            <w:rFonts w:ascii="Cambria Math" w:hAnsi="Cambria Math" w:cs="Times New Roman"/>
          </w:rPr>
          <m:t xml:space="preserve">-60))* </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e</m:t>
            </m:r>
          </m:sub>
        </m:sSub>
      </m:oMath>
      <w:r w:rsidR="00430912" w:rsidRPr="00814236">
        <w:rPr>
          <w:rFonts w:eastAsiaTheme="minorEastAsia" w:cs="Times New Roman"/>
        </w:rPr>
        <w:tab/>
      </w:r>
      <w:r w:rsidR="00430912" w:rsidRPr="00814236">
        <w:rPr>
          <w:rFonts w:eastAsiaTheme="minorEastAsia" w:cs="Times New Roman"/>
        </w:rPr>
        <w:tab/>
      </w:r>
      <w:r w:rsidR="00430912" w:rsidRPr="00814236">
        <w:rPr>
          <w:rFonts w:eastAsiaTheme="minorEastAsia" w:cs="Times New Roman"/>
        </w:rPr>
        <w:tab/>
        <w:t>(1)</w:t>
      </w:r>
    </w:p>
    <w:p w14:paraId="5AE59E6C" w14:textId="4BB7F8C2" w:rsidR="009A10F5" w:rsidRPr="00814236" w:rsidRDefault="00191AEA" w:rsidP="00141F1C">
      <w:pPr>
        <w:ind w:left="1985" w:hanging="709"/>
        <w:rPr>
          <w:rFonts w:eastAsiaTheme="minorEastAsia" w:cs="Times New Roman"/>
        </w:rPr>
      </w:pP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set40,i</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av,i</m:t>
            </m:r>
          </m:sub>
        </m:sSub>
        <m:r>
          <w:rPr>
            <w:rFonts w:ascii="Cambria Math" w:hAnsi="Cambria Math" w:cs="Times New Roman"/>
          </w:rPr>
          <m:t>-40)+</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av,i</m:t>
            </m:r>
          </m:sub>
        </m:sSub>
        <m:r>
          <w:rPr>
            <w:rFonts w:ascii="Cambria Math" w:hAnsi="Cambria Math" w:cs="Times New Roman"/>
          </w:rPr>
          <m:t xml:space="preserve">-60))* </m:t>
        </m:r>
        <m:sSub>
          <m:sSubPr>
            <m:ctrlPr>
              <w:rPr>
                <w:rFonts w:ascii="Cambria Math" w:hAnsi="Cambria Math" w:cs="Times New Roman"/>
                <w:i/>
              </w:rPr>
            </m:ctrlPr>
          </m:sSubPr>
          <m:e>
            <m:r>
              <w:rPr>
                <w:rFonts w:ascii="Cambria Math" w:hAnsi="Cambria Math" w:cs="Times New Roman"/>
              </w:rPr>
              <m:t>NEG</m:t>
            </m:r>
          </m:e>
          <m:sub>
            <m:r>
              <w:rPr>
                <w:rFonts w:ascii="Cambria Math" w:hAnsi="Cambria Math" w:cs="Times New Roman"/>
              </w:rPr>
              <m:t>i</m:t>
            </m:r>
          </m:sub>
        </m:sSub>
      </m:oMath>
      <w:r w:rsidR="00430912" w:rsidRPr="00814236">
        <w:rPr>
          <w:rFonts w:eastAsiaTheme="minorEastAsia" w:cs="Times New Roman"/>
        </w:rPr>
        <w:tab/>
      </w:r>
      <w:r w:rsidR="00430912" w:rsidRPr="00814236">
        <w:rPr>
          <w:rFonts w:eastAsiaTheme="minorEastAsia" w:cs="Times New Roman"/>
        </w:rPr>
        <w:tab/>
        <w:t>(2)</w:t>
      </w:r>
    </w:p>
    <w:p w14:paraId="7A2203DF" w14:textId="5E6BF5F6" w:rsidR="009A10F5" w:rsidRPr="00814236" w:rsidRDefault="00191AEA" w:rsidP="00141F1C">
      <w:pPr>
        <w:ind w:left="1985" w:hanging="709"/>
        <w:rPr>
          <w:rFonts w:eastAsiaTheme="minorEastAsia" w:cs="Times New Roman"/>
        </w:rPr>
      </w:pP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set90,i</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av,i</m:t>
            </m:r>
          </m:sub>
        </m:sSub>
        <m:r>
          <w:rPr>
            <w:rFonts w:ascii="Cambria Math" w:hAnsi="Cambria Math" w:cs="Times New Roman"/>
          </w:rPr>
          <m:t>+90)+</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av,i</m:t>
            </m:r>
          </m:sub>
        </m:sSub>
        <m:r>
          <w:rPr>
            <w:rFonts w:ascii="Cambria Math" w:hAnsi="Cambria Math" w:cs="Times New Roman"/>
          </w:rPr>
          <m:t xml:space="preserve">+60))* </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e</m:t>
            </m:r>
          </m:sub>
        </m:sSub>
      </m:oMath>
      <w:r w:rsidR="00430912" w:rsidRPr="00814236">
        <w:rPr>
          <w:rFonts w:eastAsiaTheme="minorEastAsia" w:cs="Times New Roman"/>
        </w:rPr>
        <w:tab/>
      </w:r>
      <w:r w:rsidR="00430912" w:rsidRPr="00814236">
        <w:rPr>
          <w:rFonts w:eastAsiaTheme="minorEastAsia" w:cs="Times New Roman"/>
        </w:rPr>
        <w:tab/>
        <w:t>(3)</w:t>
      </w:r>
    </w:p>
    <w:p w14:paraId="10ED6DF2" w14:textId="39E2E0E8" w:rsidR="0059040C" w:rsidRPr="00814236" w:rsidRDefault="00191AEA" w:rsidP="00A66234">
      <w:pPr>
        <w:ind w:left="1985" w:hanging="709"/>
        <w:rPr>
          <w:rFonts w:cs="Times New Roman"/>
        </w:rPr>
      </w:pP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set90,i</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av,i</m:t>
            </m:r>
          </m:sub>
        </m:sSub>
        <m:r>
          <w:rPr>
            <w:rFonts w:ascii="Cambria Math" w:hAnsi="Cambria Math" w:cs="Times New Roman"/>
          </w:rPr>
          <m:t>+90)+</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av,i</m:t>
            </m:r>
          </m:sub>
        </m:sSub>
        <m:r>
          <w:rPr>
            <w:rFonts w:ascii="Cambria Math" w:hAnsi="Cambria Math" w:cs="Times New Roman"/>
          </w:rPr>
          <m:t xml:space="preserve">+60))* </m:t>
        </m:r>
        <m:sSub>
          <m:sSubPr>
            <m:ctrlPr>
              <w:rPr>
                <w:rFonts w:ascii="Cambria Math" w:hAnsi="Cambria Math" w:cs="Times New Roman"/>
                <w:i/>
              </w:rPr>
            </m:ctrlPr>
          </m:sSubPr>
          <m:e>
            <m:r>
              <w:rPr>
                <w:rFonts w:ascii="Cambria Math" w:hAnsi="Cambria Math" w:cs="Times New Roman"/>
              </w:rPr>
              <m:t>POS</m:t>
            </m:r>
          </m:e>
          <m:sub>
            <m:r>
              <w:rPr>
                <w:rFonts w:ascii="Cambria Math" w:hAnsi="Cambria Math" w:cs="Times New Roman"/>
              </w:rPr>
              <m:t>i</m:t>
            </m:r>
          </m:sub>
        </m:sSub>
      </m:oMath>
      <w:r w:rsidR="00430912" w:rsidRPr="00814236">
        <w:rPr>
          <w:rFonts w:eastAsiaTheme="minorEastAsia" w:cs="Times New Roman"/>
        </w:rPr>
        <w:tab/>
      </w:r>
      <w:r w:rsidR="00430912" w:rsidRPr="00814236">
        <w:rPr>
          <w:rFonts w:eastAsiaTheme="minorEastAsia" w:cs="Times New Roman"/>
        </w:rPr>
        <w:tab/>
        <w:t>(4)</w:t>
      </w:r>
    </w:p>
    <w:p w14:paraId="3005D457" w14:textId="745883E6" w:rsidR="00430912" w:rsidRPr="00814236" w:rsidRDefault="00430912" w:rsidP="00A66234">
      <w:pPr>
        <w:ind w:left="1276" w:hanging="850"/>
        <w:jc w:val="center"/>
        <w:rPr>
          <w:rFonts w:cs="Times New Roman"/>
        </w:rPr>
      </w:pPr>
      <m:oMath>
        <m:r>
          <w:rPr>
            <w:rFonts w:ascii="Cambria Math" w:hAnsi="Cambria Math" w:cs="Times New Roman"/>
          </w:rPr>
          <m:t>V=</m:t>
        </m:r>
        <m:d>
          <m:dPr>
            <m:begChr m:val="{"/>
            <m:endChr m:val=""/>
            <m:ctrlPr>
              <w:rPr>
                <w:rFonts w:ascii="Cambria Math" w:hAnsi="Cambria Math" w:cs="Times New Roman"/>
                <w:i/>
              </w:rPr>
            </m:ctrlPr>
          </m:dPr>
          <m:e>
            <m:eqArr>
              <m:eqArrPr>
                <m:ctrlPr>
                  <w:rPr>
                    <w:rFonts w:ascii="Cambria Math" w:hAnsi="Cambria Math" w:cs="Times New Roman"/>
                    <w:i/>
                  </w:rPr>
                </m:ctrlPr>
              </m:eqArrPr>
              <m:e>
                <m:r>
                  <w:rPr>
                    <w:rFonts w:ascii="Cambria Math" w:hAnsi="Cambria Math" w:cs="Times New Roman"/>
                  </w:rPr>
                  <m:t xml:space="preserve"> </m:t>
                </m:r>
                <m:nary>
                  <m:naryPr>
                    <m:chr m:val="∑"/>
                    <m:limLoc m:val="undOvr"/>
                    <m:ctrlPr>
                      <w:rPr>
                        <w:rFonts w:ascii="Cambria Math" w:hAnsi="Cambria Math" w:cs="Times New Roman"/>
                        <w:i/>
                      </w:rPr>
                    </m:ctrlPr>
                  </m:naryPr>
                  <m:sub>
                    <m:r>
                      <w:rPr>
                        <w:rFonts w:ascii="Cambria Math" w:hAnsi="Cambria Math" w:cs="Times New Roman"/>
                      </w:rPr>
                      <m:t>i=0</m:t>
                    </m:r>
                  </m:sub>
                  <m:sup>
                    <m:r>
                      <w:rPr>
                        <w:rFonts w:ascii="Cambria Math" w:hAnsi="Cambria Math" w:cs="Times New Roman"/>
                      </w:rPr>
                      <m:t>t</m:t>
                    </m:r>
                  </m:sup>
                  <m:e>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set40,i</m:t>
                            </m:r>
                          </m:sub>
                        </m:sSub>
                        <m:r>
                          <w:rPr>
                            <w:rFonts w:ascii="Cambria Math" w:hAnsi="Cambria Math" w:cs="Times New Roman"/>
                          </w:rPr>
                          <m:t>-C</m:t>
                        </m:r>
                      </m:e>
                      <m:sub>
                        <m:r>
                          <w:rPr>
                            <w:rFonts w:ascii="Cambria Math" w:hAnsi="Cambria Math" w:cs="Times New Roman"/>
                          </w:rPr>
                          <m:t>set40,i</m:t>
                        </m:r>
                      </m:sub>
                    </m:sSub>
                  </m:e>
                </m:nary>
                <m:r>
                  <w:rPr>
                    <w:rFonts w:ascii="Cambria Math" w:hAnsi="Cambria Math" w:cs="Times New Roman"/>
                  </w:rPr>
                  <m:t>, state net=short</m:t>
                </m:r>
              </m:e>
              <m:e>
                <m:r>
                  <w:rPr>
                    <w:rFonts w:ascii="Cambria Math" w:hAnsi="Cambria Math" w:cs="Times New Roman"/>
                  </w:rPr>
                  <m:t xml:space="preserve"> </m:t>
                </m:r>
                <m:nary>
                  <m:naryPr>
                    <m:chr m:val="∑"/>
                    <m:limLoc m:val="undOvr"/>
                    <m:ctrlPr>
                      <w:rPr>
                        <w:rFonts w:ascii="Cambria Math" w:hAnsi="Cambria Math" w:cs="Times New Roman"/>
                        <w:i/>
                      </w:rPr>
                    </m:ctrlPr>
                  </m:naryPr>
                  <m:sub>
                    <m:r>
                      <w:rPr>
                        <w:rFonts w:ascii="Cambria Math" w:hAnsi="Cambria Math" w:cs="Times New Roman"/>
                      </w:rPr>
                      <m:t>i=0</m:t>
                    </m:r>
                  </m:sub>
                  <m:sup>
                    <m:r>
                      <w:rPr>
                        <w:rFonts w:ascii="Cambria Math" w:hAnsi="Cambria Math" w:cs="Times New Roman"/>
                      </w:rPr>
                      <m:t>t</m:t>
                    </m:r>
                  </m:sup>
                  <m:e>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set90,i</m:t>
                            </m:r>
                          </m:sub>
                        </m:sSub>
                        <m:r>
                          <w:rPr>
                            <w:rFonts w:ascii="Cambria Math" w:hAnsi="Cambria Math" w:cs="Times New Roman"/>
                          </w:rPr>
                          <m:t>-C</m:t>
                        </m:r>
                      </m:e>
                      <m:sub>
                        <m:r>
                          <w:rPr>
                            <w:rFonts w:ascii="Cambria Math" w:hAnsi="Cambria Math" w:cs="Times New Roman"/>
                          </w:rPr>
                          <m:t>set90,i</m:t>
                        </m:r>
                      </m:sub>
                    </m:sSub>
                  </m:e>
                </m:nary>
                <m:r>
                  <w:rPr>
                    <w:rFonts w:ascii="Cambria Math" w:hAnsi="Cambria Math" w:cs="Times New Roman"/>
                  </w:rPr>
                  <m:t>, state net=long</m:t>
                </m:r>
              </m:e>
            </m:eqArr>
          </m:e>
        </m:d>
      </m:oMath>
      <w:r w:rsidRPr="00814236">
        <w:rPr>
          <w:rFonts w:eastAsiaTheme="minorEastAsia" w:cs="Times New Roman"/>
        </w:rPr>
        <w:t xml:space="preserve"> </w:t>
      </w:r>
      <w:r w:rsidRPr="00814236">
        <w:rPr>
          <w:rFonts w:eastAsiaTheme="minorEastAsia" w:cs="Times New Roman"/>
        </w:rPr>
        <w:tab/>
      </w:r>
      <w:r w:rsidR="00A907D5">
        <w:rPr>
          <w:rFonts w:eastAsiaTheme="minorEastAsia" w:cs="Times New Roman"/>
        </w:rPr>
        <w:t xml:space="preserve"> </w:t>
      </w:r>
      <w:r w:rsidRPr="00814236">
        <w:rPr>
          <w:rFonts w:eastAsiaTheme="minorEastAsia" w:cs="Times New Roman"/>
        </w:rPr>
        <w:t>(5)</w:t>
      </w:r>
    </w:p>
    <w:p w14:paraId="2E8B1ACC" w14:textId="01A08F1F" w:rsidR="00D67460" w:rsidRPr="00A66234" w:rsidRDefault="00A66234" w:rsidP="00A66234">
      <w:pPr>
        <w:rPr>
          <w:rFonts w:eastAsiaTheme="minorEastAsia" w:cs="Times New Roman"/>
          <w:sz w:val="20"/>
          <w:szCs w:val="20"/>
        </w:rPr>
      </w:pPr>
      <w:r>
        <w:rPr>
          <w:rFonts w:cs="Times New Roman"/>
          <w:sz w:val="20"/>
          <w:szCs w:val="20"/>
        </w:rPr>
        <w:t>W</w:t>
      </w:r>
      <w:r w:rsidR="00713482" w:rsidRPr="00A66234">
        <w:rPr>
          <w:rFonts w:cs="Times New Roman"/>
          <w:sz w:val="20"/>
          <w:szCs w:val="20"/>
        </w:rPr>
        <w:t>here</w:t>
      </w:r>
      <w:r>
        <w:rPr>
          <w:rFonts w:cs="Times New Roman"/>
          <w:sz w:val="20"/>
          <w:szCs w:val="20"/>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T</m:t>
            </m:r>
          </m:e>
          <m:sub>
            <m:r>
              <w:rPr>
                <w:rFonts w:ascii="Cambria Math" w:hAnsi="Cambria Math" w:cs="Times New Roman"/>
                <w:sz w:val="20"/>
                <w:szCs w:val="20"/>
              </w:rPr>
              <m:t>av,i</m:t>
            </m:r>
          </m:sub>
        </m:sSub>
        <m:r>
          <w:rPr>
            <w:rFonts w:ascii="Cambria Math" w:hAnsi="Cambria Math" w:cs="Times New Roman"/>
            <w:sz w:val="20"/>
            <w:szCs w:val="20"/>
          </w:rPr>
          <m:t>=</m:t>
        </m:r>
      </m:oMath>
      <w:r w:rsidR="00EF10AD" w:rsidRPr="00A66234">
        <w:rPr>
          <w:rFonts w:eastAsiaTheme="minorEastAsia" w:cs="Times New Roman"/>
          <w:sz w:val="20"/>
          <w:szCs w:val="20"/>
        </w:rPr>
        <w:t xml:space="preserve">the average temperature of the tank on timestep </w:t>
      </w:r>
      <w:proofErr w:type="spellStart"/>
      <w:r w:rsidR="00D67460" w:rsidRPr="00A66234">
        <w:rPr>
          <w:rFonts w:eastAsiaTheme="minorEastAsia" w:cs="Times New Roman"/>
          <w:sz w:val="20"/>
          <w:szCs w:val="20"/>
        </w:rPr>
        <w:t>i</w:t>
      </w:r>
      <w:proofErr w:type="spellEnd"/>
      <w:r w:rsidR="00D67460" w:rsidRPr="00A66234">
        <w:rPr>
          <w:rFonts w:eastAsiaTheme="minorEastAsia" w:cs="Times New Roman"/>
          <w:sz w:val="20"/>
          <w:szCs w:val="20"/>
        </w:rPr>
        <w:t>,</w:t>
      </w:r>
      <w:r w:rsidR="00EF10AD" w:rsidRPr="00A66234">
        <w:rPr>
          <w:rFonts w:eastAsiaTheme="minorEastAsia" w:cs="Times New Roman"/>
          <w:sz w:val="20"/>
          <w:szCs w:val="20"/>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set40,i</m:t>
            </m:r>
          </m:sub>
        </m:sSub>
        <m:r>
          <w:rPr>
            <w:rFonts w:ascii="Cambria Math" w:hAnsi="Cambria Math" w:cs="Times New Roman"/>
            <w:sz w:val="20"/>
            <w:szCs w:val="20"/>
          </w:rPr>
          <m:t>=</m:t>
        </m:r>
      </m:oMath>
      <w:r w:rsidR="009D5EC8" w:rsidRPr="00A66234">
        <w:rPr>
          <w:rFonts w:eastAsiaTheme="minorEastAsia" w:cs="Times New Roman"/>
          <w:sz w:val="20"/>
          <w:szCs w:val="20"/>
        </w:rPr>
        <w:t xml:space="preserve"> the energy cost for changing the setpoint to 40</w:t>
      </w:r>
      <w:r>
        <w:rPr>
          <w:rFonts w:eastAsiaTheme="minorEastAsia" w:cs="Times New Roman"/>
          <w:sz w:val="20"/>
          <w:szCs w:val="20"/>
        </w:rPr>
        <w:t>℃</w:t>
      </w:r>
      <w:r w:rsidR="009D5EC8" w:rsidRPr="00A66234">
        <w:rPr>
          <w:rFonts w:eastAsiaTheme="minorEastAsia" w:cs="Times New Roman"/>
          <w:sz w:val="20"/>
          <w:szCs w:val="20"/>
        </w:rPr>
        <w:t xml:space="preserve"> with a threshold of 60</w:t>
      </w:r>
      <w:r>
        <w:rPr>
          <w:rFonts w:eastAsiaTheme="minorEastAsia" w:cs="Times New Roman"/>
          <w:sz w:val="20"/>
          <w:szCs w:val="20"/>
        </w:rPr>
        <w:t>℃</w:t>
      </w:r>
      <w:r w:rsidR="009D5EC8" w:rsidRPr="00A66234">
        <w:rPr>
          <w:rFonts w:eastAsiaTheme="minorEastAsia" w:cs="Times New Roman"/>
          <w:sz w:val="20"/>
          <w:szCs w:val="20"/>
        </w:rPr>
        <w:t xml:space="preserve"> </w:t>
      </w:r>
      <w:r w:rsidR="00EF10AD" w:rsidRPr="00A66234">
        <w:rPr>
          <w:rFonts w:eastAsiaTheme="minorEastAsia" w:cs="Times New Roman"/>
          <w:sz w:val="20"/>
          <w:szCs w:val="20"/>
        </w:rPr>
        <w:t xml:space="preserve">at timestep </w:t>
      </w:r>
      <w:proofErr w:type="spellStart"/>
      <w:r w:rsidR="00D67460" w:rsidRPr="00A66234">
        <w:rPr>
          <w:rFonts w:eastAsiaTheme="minorEastAsia" w:cs="Times New Roman"/>
          <w:sz w:val="20"/>
          <w:szCs w:val="20"/>
        </w:rPr>
        <w:t>i</w:t>
      </w:r>
      <w:proofErr w:type="spellEnd"/>
      <w:r w:rsidR="00D67460" w:rsidRPr="00A66234">
        <w:rPr>
          <w:rFonts w:eastAsiaTheme="minorEastAsia" w:cs="Times New Roman"/>
          <w:sz w:val="20"/>
          <w:szCs w:val="20"/>
        </w:rPr>
        <w:t>,</w:t>
      </w:r>
      <w:r>
        <w:rPr>
          <w:rFonts w:eastAsiaTheme="minorEastAsia" w:cs="Times New Roman"/>
          <w:sz w:val="20"/>
          <w:szCs w:val="20"/>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e</m:t>
            </m:r>
          </m:sub>
        </m:sSub>
        <m:r>
          <w:rPr>
            <w:rFonts w:ascii="Cambria Math" w:hAnsi="Cambria Math" w:cs="Times New Roman"/>
            <w:sz w:val="20"/>
            <w:szCs w:val="20"/>
          </w:rPr>
          <m:t>=</m:t>
        </m:r>
      </m:oMath>
      <w:r w:rsidR="00EF10AD" w:rsidRPr="00A66234">
        <w:rPr>
          <w:rFonts w:eastAsiaTheme="minorEastAsia" w:cs="Times New Roman"/>
          <w:sz w:val="20"/>
          <w:szCs w:val="20"/>
        </w:rPr>
        <w:t xml:space="preserve"> unit price of energy</w:t>
      </w:r>
      <w:r w:rsidR="00D67460" w:rsidRPr="00A66234">
        <w:rPr>
          <w:rFonts w:eastAsiaTheme="minorEastAsia" w:cs="Times New Roman"/>
          <w:sz w:val="20"/>
          <w:szCs w:val="20"/>
        </w:rPr>
        <w:t>,</w:t>
      </w:r>
      <w:r>
        <w:rPr>
          <w:rFonts w:eastAsiaTheme="minorEastAsia" w:cs="Times New Roman"/>
          <w:sz w:val="20"/>
          <w:szCs w:val="20"/>
        </w:rPr>
        <w:t xml:space="preserve"> </w:t>
      </w:r>
      <m:oMath>
        <m:r>
          <w:rPr>
            <w:rFonts w:ascii="Cambria Math" w:hAnsi="Cambria Math" w:cs="Times New Roman"/>
            <w:sz w:val="20"/>
            <w:szCs w:val="20"/>
          </w:rPr>
          <m:t>NEG=</m:t>
        </m:r>
      </m:oMath>
      <w:r w:rsidR="00EF10AD" w:rsidRPr="00A66234">
        <w:rPr>
          <w:rFonts w:eastAsiaTheme="minorEastAsia" w:cs="Times New Roman"/>
          <w:sz w:val="20"/>
          <w:szCs w:val="20"/>
        </w:rPr>
        <w:t xml:space="preserve"> the compensation for delivering balancing efforts when the net is short at timestep </w:t>
      </w:r>
      <w:proofErr w:type="spellStart"/>
      <w:r w:rsidR="00D67460" w:rsidRPr="00A66234">
        <w:rPr>
          <w:rFonts w:eastAsiaTheme="minorEastAsia" w:cs="Times New Roman"/>
          <w:sz w:val="20"/>
          <w:szCs w:val="20"/>
        </w:rPr>
        <w:t>i</w:t>
      </w:r>
      <w:proofErr w:type="spellEnd"/>
      <w:r w:rsidR="00D67460" w:rsidRPr="00A66234">
        <w:rPr>
          <w:rFonts w:eastAsiaTheme="minorEastAsia" w:cs="Times New Roman"/>
          <w:sz w:val="20"/>
          <w:szCs w:val="20"/>
        </w:rPr>
        <w:t>,</w:t>
      </w:r>
      <w:r>
        <w:rPr>
          <w:rFonts w:eastAsiaTheme="minorEastAsia" w:cs="Times New Roman"/>
          <w:sz w:val="20"/>
          <w:szCs w:val="20"/>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set40,i</m:t>
            </m:r>
          </m:sub>
        </m:sSub>
        <m:r>
          <w:rPr>
            <w:rFonts w:ascii="Cambria Math" w:hAnsi="Cambria Math" w:cs="Times New Roman"/>
            <w:sz w:val="20"/>
            <w:szCs w:val="20"/>
          </w:rPr>
          <m:t>=</m:t>
        </m:r>
      </m:oMath>
      <w:r w:rsidR="009D5EC8" w:rsidRPr="00A66234">
        <w:rPr>
          <w:rFonts w:eastAsiaTheme="minorEastAsia" w:cs="Times New Roman"/>
          <w:sz w:val="20"/>
          <w:szCs w:val="20"/>
        </w:rPr>
        <w:t xml:space="preserve"> the revenue for delivering balancing power to a net that is short</w:t>
      </w:r>
      <w:r w:rsidR="00D67460" w:rsidRPr="00A66234">
        <w:rPr>
          <w:rFonts w:eastAsiaTheme="minorEastAsia" w:cs="Times New Roman"/>
          <w:sz w:val="20"/>
          <w:szCs w:val="20"/>
        </w:rPr>
        <w:t>,</w:t>
      </w:r>
      <w:r w:rsidR="009D5EC8" w:rsidRPr="00A66234">
        <w:rPr>
          <w:rFonts w:eastAsiaTheme="minorEastAsia" w:cs="Times New Roman"/>
          <w:sz w:val="20"/>
          <w:szCs w:val="20"/>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set90,i</m:t>
            </m:r>
          </m:sub>
        </m:sSub>
        <m:r>
          <w:rPr>
            <w:rFonts w:ascii="Cambria Math" w:hAnsi="Cambria Math" w:cs="Times New Roman"/>
            <w:sz w:val="20"/>
            <w:szCs w:val="20"/>
          </w:rPr>
          <m:t>=</m:t>
        </m:r>
      </m:oMath>
      <w:r w:rsidR="009D5EC8" w:rsidRPr="00A66234">
        <w:rPr>
          <w:rFonts w:eastAsiaTheme="minorEastAsia" w:cs="Times New Roman"/>
          <w:sz w:val="20"/>
          <w:szCs w:val="20"/>
        </w:rPr>
        <w:t xml:space="preserve"> the energy cost for changing the setpoint to 90</w:t>
      </w:r>
      <w:r>
        <w:rPr>
          <w:rFonts w:eastAsiaTheme="minorEastAsia" w:cs="Times New Roman"/>
          <w:sz w:val="20"/>
          <w:szCs w:val="20"/>
        </w:rPr>
        <w:t>℃</w:t>
      </w:r>
      <w:r w:rsidR="009D5EC8" w:rsidRPr="00A66234">
        <w:rPr>
          <w:rFonts w:eastAsiaTheme="minorEastAsia" w:cs="Times New Roman"/>
          <w:sz w:val="20"/>
          <w:szCs w:val="20"/>
        </w:rPr>
        <w:t xml:space="preserve"> with a threshold of 60</w:t>
      </w:r>
      <w:r>
        <w:rPr>
          <w:rFonts w:eastAsiaTheme="minorEastAsia" w:cs="Times New Roman"/>
          <w:sz w:val="20"/>
          <w:szCs w:val="20"/>
        </w:rPr>
        <w:t>℃</w:t>
      </w:r>
      <w:r w:rsidR="00D67460" w:rsidRPr="00A66234">
        <w:rPr>
          <w:rFonts w:eastAsiaTheme="minorEastAsia" w:cs="Times New Roman"/>
          <w:sz w:val="20"/>
          <w:szCs w:val="20"/>
        </w:rPr>
        <w:t>,</w:t>
      </w:r>
      <w:r>
        <w:rPr>
          <w:rFonts w:eastAsiaTheme="minorEastAsia" w:cs="Times New Roman"/>
          <w:sz w:val="20"/>
          <w:szCs w:val="20"/>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set90,i</m:t>
            </m:r>
          </m:sub>
        </m:sSub>
        <m:r>
          <w:rPr>
            <w:rFonts w:ascii="Cambria Math" w:hAnsi="Cambria Math" w:cs="Times New Roman"/>
            <w:sz w:val="20"/>
            <w:szCs w:val="20"/>
          </w:rPr>
          <m:t>=</m:t>
        </m:r>
      </m:oMath>
      <w:r w:rsidR="009D5EC8" w:rsidRPr="00A66234">
        <w:rPr>
          <w:rFonts w:eastAsiaTheme="minorEastAsia" w:cs="Times New Roman"/>
          <w:sz w:val="20"/>
          <w:szCs w:val="20"/>
        </w:rPr>
        <w:t xml:space="preserve"> the revenue for delivering balancing power to a net that is long</w:t>
      </w:r>
      <w:r w:rsidR="00D67460" w:rsidRPr="00A66234">
        <w:rPr>
          <w:rFonts w:eastAsiaTheme="minorEastAsia" w:cs="Times New Roman"/>
          <w:sz w:val="20"/>
          <w:szCs w:val="20"/>
        </w:rPr>
        <w:t>,</w:t>
      </w:r>
      <w:r w:rsidR="009D5EC8" w:rsidRPr="00A66234">
        <w:rPr>
          <w:rFonts w:eastAsiaTheme="minorEastAsia" w:cs="Times New Roman"/>
          <w:sz w:val="20"/>
          <w:szCs w:val="20"/>
        </w:rPr>
        <w:t xml:space="preserve"> </w:t>
      </w:r>
      <m:oMath>
        <m:r>
          <w:rPr>
            <w:rFonts w:ascii="Cambria Math" w:hAnsi="Cambria Math" w:cs="Times New Roman"/>
            <w:sz w:val="20"/>
            <w:szCs w:val="20"/>
          </w:rPr>
          <m:t>POS=</m:t>
        </m:r>
      </m:oMath>
      <w:r w:rsidR="00EF10AD" w:rsidRPr="00A66234">
        <w:rPr>
          <w:rFonts w:eastAsiaTheme="minorEastAsia" w:cs="Times New Roman"/>
          <w:sz w:val="20"/>
          <w:szCs w:val="20"/>
        </w:rPr>
        <w:t xml:space="preserve"> the compensation for delivering balancing efforts when the net is long at timestep </w:t>
      </w:r>
      <w:proofErr w:type="spellStart"/>
      <w:r w:rsidR="00D67460" w:rsidRPr="00A66234">
        <w:rPr>
          <w:rFonts w:eastAsiaTheme="minorEastAsia" w:cs="Times New Roman"/>
          <w:sz w:val="20"/>
          <w:szCs w:val="20"/>
        </w:rPr>
        <w:t>i</w:t>
      </w:r>
      <w:proofErr w:type="spellEnd"/>
      <w:r w:rsidR="00D67460" w:rsidRPr="00A66234">
        <w:rPr>
          <w:rFonts w:eastAsiaTheme="minorEastAsia" w:cs="Times New Roman"/>
          <w:sz w:val="20"/>
          <w:szCs w:val="20"/>
        </w:rPr>
        <w:t>,</w:t>
      </w:r>
      <w:r>
        <w:rPr>
          <w:rFonts w:eastAsiaTheme="minorEastAsia" w:cs="Times New Roman"/>
          <w:sz w:val="20"/>
          <w:szCs w:val="20"/>
        </w:rPr>
        <w:t xml:space="preserve"> </w:t>
      </w:r>
      <w:r w:rsidR="00EF10AD" w:rsidRPr="00A66234">
        <w:rPr>
          <w:rFonts w:eastAsiaTheme="minorEastAsia" w:cs="Times New Roman"/>
          <w:sz w:val="20"/>
          <w:szCs w:val="20"/>
        </w:rPr>
        <w:t xml:space="preserve">V = value of the action, the net </w:t>
      </w:r>
      <w:r w:rsidR="00186075" w:rsidRPr="00A66234">
        <w:rPr>
          <w:rFonts w:eastAsiaTheme="minorEastAsia" w:cs="Times New Roman"/>
          <w:sz w:val="20"/>
          <w:szCs w:val="20"/>
        </w:rPr>
        <w:t>cashflow for participating on balancing the net.</w:t>
      </w:r>
      <w:r w:rsidR="00EF10AD" w:rsidRPr="00A66234">
        <w:rPr>
          <w:rFonts w:eastAsiaTheme="minorEastAsia" w:cs="Times New Roman"/>
          <w:sz w:val="20"/>
          <w:szCs w:val="20"/>
        </w:rPr>
        <w:t xml:space="preserve"> </w:t>
      </w:r>
    </w:p>
    <w:p w14:paraId="603A57AE" w14:textId="19C338DE" w:rsidR="00035F4A" w:rsidRDefault="00035F4A" w:rsidP="00141F1C">
      <w:pPr>
        <w:rPr>
          <w:rFonts w:cs="Times New Roman"/>
        </w:rPr>
      </w:pPr>
      <w:r w:rsidRPr="00035F4A">
        <w:rPr>
          <w:rFonts w:cs="Times New Roman"/>
        </w:rPr>
        <w:t>The cost of electrical energy is chosen to be 0.25 euros/kWh, while the compensation for delivering balanced power (POS for long net state and NEG for short net state) is determined using quart</w:t>
      </w:r>
      <w:r w:rsidR="003363AA">
        <w:rPr>
          <w:rFonts w:cs="Times New Roman"/>
        </w:rPr>
        <w:t>-</w:t>
      </w:r>
      <w:r w:rsidRPr="00035F4A">
        <w:rPr>
          <w:rFonts w:cs="Times New Roman"/>
        </w:rPr>
        <w:t xml:space="preserve">hourly published values from 2017, made available by ELIA, the TSO for Belgium (ELIA, n.d., Data Download). </w:t>
      </w:r>
    </w:p>
    <w:p w14:paraId="4E99DD7D" w14:textId="77D27FF6" w:rsidR="001809D2" w:rsidRPr="00814236" w:rsidRDefault="001809D2" w:rsidP="00141F1C">
      <w:pPr>
        <w:rPr>
          <w:rFonts w:cs="Times New Roman"/>
        </w:rPr>
      </w:pPr>
      <w:r w:rsidRPr="00814236">
        <w:rPr>
          <w:rFonts w:cs="Times New Roman"/>
        </w:rPr>
        <w:t xml:space="preserve">The controller is programmed to only change its setpoint </w:t>
      </w:r>
      <w:r w:rsidR="00035F4A">
        <w:rPr>
          <w:rFonts w:cs="Times New Roman"/>
        </w:rPr>
        <w:t xml:space="preserve">temperature </w:t>
      </w:r>
      <w:r w:rsidRPr="00814236">
        <w:rPr>
          <w:rFonts w:cs="Times New Roman"/>
        </w:rPr>
        <w:t xml:space="preserve">if this option is economically worthwhile. This means that the controller will only change </w:t>
      </w:r>
      <w:r w:rsidR="00035F4A">
        <w:rPr>
          <w:rFonts w:cs="Times New Roman"/>
        </w:rPr>
        <w:t xml:space="preserve">the </w:t>
      </w:r>
      <w:r w:rsidRPr="00814236">
        <w:rPr>
          <w:rFonts w:cs="Times New Roman"/>
        </w:rPr>
        <w:t>setpoint when selling the flexibility will be worth more than the energy cost of changing the setpoint while taking future usage</w:t>
      </w:r>
      <w:r w:rsidR="00284798" w:rsidRPr="00814236">
        <w:rPr>
          <w:rFonts w:cs="Times New Roman"/>
        </w:rPr>
        <w:t xml:space="preserve"> (</w:t>
      </w:r>
      <w:r w:rsidR="00BF3478" w:rsidRPr="00814236">
        <w:rPr>
          <w:rFonts w:cs="Times New Roman"/>
        </w:rPr>
        <w:t>predicted</w:t>
      </w:r>
      <w:r w:rsidR="00284798" w:rsidRPr="00814236">
        <w:rPr>
          <w:rFonts w:cs="Times New Roman"/>
        </w:rPr>
        <w:t>)</w:t>
      </w:r>
      <w:r w:rsidRPr="00814236">
        <w:rPr>
          <w:rFonts w:cs="Times New Roman"/>
        </w:rPr>
        <w:t xml:space="preserve"> into account. </w:t>
      </w:r>
    </w:p>
    <w:p w14:paraId="293BE633" w14:textId="5B781D91" w:rsidR="00284798" w:rsidRPr="00814236" w:rsidRDefault="001809D2" w:rsidP="00141F1C">
      <w:pPr>
        <w:rPr>
          <w:rFonts w:cs="Times New Roman"/>
        </w:rPr>
      </w:pPr>
      <w:r w:rsidRPr="00814236">
        <w:rPr>
          <w:rFonts w:cs="Times New Roman"/>
        </w:rPr>
        <w:t>It is important to note that the imbalance compensation is only calculated for the gain with respect to standard operations (a setpoint of 60</w:t>
      </w:r>
      <w:r w:rsidR="00035F4A">
        <w:rPr>
          <w:rFonts w:cs="Times New Roman"/>
        </w:rPr>
        <w:t>℃</w:t>
      </w:r>
      <w:r w:rsidRPr="00814236">
        <w:rPr>
          <w:rFonts w:cs="Times New Roman"/>
        </w:rPr>
        <w:t>). For instance, when the temperature of the tank is higher than the new setpoint (e.g. the tank is at 80</w:t>
      </w:r>
      <w:r w:rsidR="00035F4A">
        <w:rPr>
          <w:rFonts w:cs="Times New Roman"/>
        </w:rPr>
        <w:t>℃</w:t>
      </w:r>
      <w:r w:rsidRPr="00814236">
        <w:rPr>
          <w:rFonts w:cs="Times New Roman"/>
        </w:rPr>
        <w:t xml:space="preserve"> and the setpoint is changed to 40</w:t>
      </w:r>
      <w:r w:rsidR="00035F4A">
        <w:rPr>
          <w:rFonts w:cs="Times New Roman"/>
        </w:rPr>
        <w:t>℃</w:t>
      </w:r>
      <w:r w:rsidRPr="00814236">
        <w:rPr>
          <w:rFonts w:cs="Times New Roman"/>
        </w:rPr>
        <w:t>), the compensation for imbalance is only calculated for energy usage that is avoided. This means we only consider the energy that is needed to reheat the boiler to 60</w:t>
      </w:r>
      <w:r w:rsidR="00035F4A">
        <w:rPr>
          <w:rFonts w:cs="Times New Roman"/>
        </w:rPr>
        <w:t>℃</w:t>
      </w:r>
      <w:r w:rsidRPr="00814236">
        <w:rPr>
          <w:rFonts w:cs="Times New Roman"/>
        </w:rPr>
        <w:t xml:space="preserve">. The reasoning </w:t>
      </w:r>
      <w:r w:rsidR="00035F4A">
        <w:rPr>
          <w:rFonts w:cs="Times New Roman"/>
        </w:rPr>
        <w:t>behind</w:t>
      </w:r>
      <w:r w:rsidRPr="00814236">
        <w:rPr>
          <w:rFonts w:cs="Times New Roman"/>
        </w:rPr>
        <w:t xml:space="preserve"> this is that standard operation is </w:t>
      </w:r>
      <w:r w:rsidRPr="00814236">
        <w:rPr>
          <w:rFonts w:cs="Times New Roman"/>
        </w:rPr>
        <w:lastRenderedPageBreak/>
        <w:t>60</w:t>
      </w:r>
      <w:r w:rsidR="00035F4A">
        <w:rPr>
          <w:rFonts w:cs="Times New Roman"/>
        </w:rPr>
        <w:t>℃</w:t>
      </w:r>
      <w:r w:rsidRPr="00814236">
        <w:rPr>
          <w:rFonts w:cs="Times New Roman"/>
        </w:rPr>
        <w:t xml:space="preserve"> and that</w:t>
      </w:r>
      <w:r w:rsidR="00035F4A">
        <w:rPr>
          <w:rFonts w:cs="Times New Roman"/>
        </w:rPr>
        <w:t>,</w:t>
      </w:r>
      <w:r w:rsidRPr="00814236">
        <w:rPr>
          <w:rFonts w:cs="Times New Roman"/>
        </w:rPr>
        <w:t xml:space="preserve"> normally</w:t>
      </w:r>
      <w:r w:rsidR="00035F4A">
        <w:rPr>
          <w:rFonts w:cs="Times New Roman"/>
        </w:rPr>
        <w:t>,</w:t>
      </w:r>
      <w:r w:rsidRPr="00814236">
        <w:rPr>
          <w:rFonts w:cs="Times New Roman"/>
        </w:rPr>
        <w:t xml:space="preserve"> there would be </w:t>
      </w:r>
      <w:r w:rsidR="00B93971" w:rsidRPr="00814236">
        <w:rPr>
          <w:rFonts w:cs="Times New Roman"/>
        </w:rPr>
        <w:t>a power</w:t>
      </w:r>
      <w:r w:rsidRPr="00814236">
        <w:rPr>
          <w:rFonts w:cs="Times New Roman"/>
        </w:rPr>
        <w:t xml:space="preserve"> demand for heating the boiler to this setpoint. It is only this </w:t>
      </w:r>
      <w:r w:rsidR="00B93971" w:rsidRPr="00814236">
        <w:rPr>
          <w:rFonts w:cs="Times New Roman"/>
        </w:rPr>
        <w:t xml:space="preserve">power that is a </w:t>
      </w:r>
      <w:r w:rsidRPr="00814236">
        <w:rPr>
          <w:rFonts w:cs="Times New Roman"/>
        </w:rPr>
        <w:t xml:space="preserve">gain for the </w:t>
      </w:r>
      <w:r w:rsidR="00BF3478" w:rsidRPr="00814236">
        <w:rPr>
          <w:rFonts w:cs="Times New Roman"/>
        </w:rPr>
        <w:t>BRP/</w:t>
      </w:r>
      <w:r w:rsidRPr="00814236">
        <w:rPr>
          <w:rFonts w:cs="Times New Roman"/>
        </w:rPr>
        <w:t>TSO and th</w:t>
      </w:r>
      <w:r w:rsidR="00BF3478" w:rsidRPr="00814236">
        <w:rPr>
          <w:rFonts w:cs="Times New Roman"/>
        </w:rPr>
        <w:t>at</w:t>
      </w:r>
      <w:r w:rsidRPr="00814236">
        <w:rPr>
          <w:rFonts w:cs="Times New Roman"/>
        </w:rPr>
        <w:t xml:space="preserve"> needs to be compensated </w:t>
      </w:r>
      <w:r w:rsidR="00035F4A">
        <w:rPr>
          <w:rFonts w:cs="Times New Roman"/>
        </w:rPr>
        <w:t xml:space="preserve">for </w:t>
      </w:r>
      <w:r w:rsidRPr="00814236">
        <w:rPr>
          <w:rFonts w:cs="Times New Roman"/>
        </w:rPr>
        <w:t xml:space="preserve">as a deviation of normal behaviour. </w:t>
      </w:r>
      <w:r w:rsidR="00035F4A">
        <w:rPr>
          <w:rFonts w:cs="Times New Roman"/>
        </w:rPr>
        <w:t>With t</w:t>
      </w:r>
      <w:r w:rsidR="00284798" w:rsidRPr="00814236">
        <w:rPr>
          <w:rFonts w:cs="Times New Roman"/>
        </w:rPr>
        <w:t>his</w:t>
      </w:r>
      <w:r w:rsidR="00035F4A">
        <w:rPr>
          <w:rFonts w:cs="Times New Roman"/>
        </w:rPr>
        <w:t>, t</w:t>
      </w:r>
      <w:r w:rsidR="00284798" w:rsidRPr="00814236">
        <w:rPr>
          <w:rFonts w:cs="Times New Roman"/>
        </w:rPr>
        <w:t>he economic feasibility</w:t>
      </w:r>
      <w:r w:rsidR="00BF3478" w:rsidRPr="00814236">
        <w:rPr>
          <w:rFonts w:cs="Times New Roman"/>
        </w:rPr>
        <w:t xml:space="preserve"> is shown for</w:t>
      </w:r>
      <w:r w:rsidR="00284798" w:rsidRPr="00814236">
        <w:rPr>
          <w:rFonts w:cs="Times New Roman"/>
        </w:rPr>
        <w:t xml:space="preserve"> the imbalance market</w:t>
      </w:r>
      <w:r w:rsidR="00BF3478" w:rsidRPr="00814236">
        <w:rPr>
          <w:rFonts w:cs="Times New Roman"/>
        </w:rPr>
        <w:t>, as th</w:t>
      </w:r>
      <w:r w:rsidR="003C3CA0">
        <w:rPr>
          <w:rFonts w:cs="Times New Roman"/>
        </w:rPr>
        <w:t xml:space="preserve">is is </w:t>
      </w:r>
      <w:r w:rsidR="00284798" w:rsidRPr="00814236">
        <w:rPr>
          <w:rFonts w:cs="Times New Roman"/>
        </w:rPr>
        <w:t xml:space="preserve">only interested in the power profile that is being adapted and not the energy consumption. </w:t>
      </w:r>
    </w:p>
    <w:p w14:paraId="59BBB6DE" w14:textId="398BC040" w:rsidR="001809D2" w:rsidRPr="00814236" w:rsidRDefault="001809D2" w:rsidP="00141F1C">
      <w:pPr>
        <w:rPr>
          <w:rFonts w:cs="Times New Roman"/>
        </w:rPr>
      </w:pPr>
      <w:r w:rsidRPr="00814236">
        <w:rPr>
          <w:rFonts w:cs="Times New Roman"/>
        </w:rPr>
        <w:t xml:space="preserve">In the simulations, we assume that the TSO continuously activates our system. As such, the state of the net is constantly communicated by the TSO. The boiler will only adapt its setpoint when the compensation is potentially favourable. The hot water boiler will be too inert to deliver the </w:t>
      </w:r>
      <w:r w:rsidR="003C3CA0">
        <w:rPr>
          <w:rFonts w:cs="Times New Roman"/>
        </w:rPr>
        <w:t xml:space="preserve">required </w:t>
      </w:r>
      <w:r w:rsidRPr="00814236">
        <w:rPr>
          <w:rFonts w:cs="Times New Roman"/>
        </w:rPr>
        <w:t>power. This has no influence on the economic analysis as the simulation calculates the gains relative to the 60</w:t>
      </w:r>
      <w:r w:rsidR="003C3CA0">
        <w:rPr>
          <w:rFonts w:cs="Times New Roman"/>
        </w:rPr>
        <w:t>℃</w:t>
      </w:r>
      <w:r w:rsidRPr="00814236">
        <w:rPr>
          <w:rFonts w:cs="Times New Roman"/>
        </w:rPr>
        <w:t xml:space="preserve"> normal operation setpoint. In the simulation, we assume that once activated, the system remains activated for at least 15 minutes, which is the simulation’s timestep. </w:t>
      </w:r>
    </w:p>
    <w:p w14:paraId="09566774" w14:textId="57A6129D" w:rsidR="00AB59D4" w:rsidRPr="00814236" w:rsidRDefault="007437AD" w:rsidP="00141F1C">
      <w:pPr>
        <w:rPr>
          <w:rFonts w:cs="Times New Roman"/>
        </w:rPr>
      </w:pPr>
      <w:r w:rsidRPr="00814236">
        <w:rPr>
          <w:rFonts w:cs="Times New Roman"/>
        </w:rPr>
        <w:t>The mass flow of water is defined as a fixed consumption profile (see</w:t>
      </w:r>
      <w:r w:rsidR="00AB59D4" w:rsidRPr="00814236">
        <w:rPr>
          <w:rFonts w:cs="Times New Roman"/>
        </w:rPr>
        <w:t xml:space="preserve"> </w:t>
      </w:r>
      <w:r w:rsidR="00AB59D4" w:rsidRPr="00814236">
        <w:rPr>
          <w:rFonts w:cs="Times New Roman"/>
        </w:rPr>
        <w:fldChar w:fldCharType="begin"/>
      </w:r>
      <w:r w:rsidR="00AB59D4" w:rsidRPr="00814236">
        <w:rPr>
          <w:rFonts w:cs="Times New Roman"/>
        </w:rPr>
        <w:instrText xml:space="preserve"> REF _Ref533636173 \h </w:instrText>
      </w:r>
      <w:r w:rsidR="00327345" w:rsidRPr="00814236">
        <w:rPr>
          <w:rFonts w:cs="Times New Roman"/>
        </w:rPr>
        <w:instrText xml:space="preserve"> \* MERGEFORMAT </w:instrText>
      </w:r>
      <w:r w:rsidR="00AB59D4" w:rsidRPr="00814236">
        <w:rPr>
          <w:rFonts w:cs="Times New Roman"/>
        </w:rPr>
      </w:r>
      <w:r w:rsidR="00AB59D4" w:rsidRPr="00814236">
        <w:rPr>
          <w:rFonts w:cs="Times New Roman"/>
        </w:rPr>
        <w:fldChar w:fldCharType="separate"/>
      </w:r>
      <w:r w:rsidR="00EC7943" w:rsidRPr="00814236">
        <w:t xml:space="preserve">Figure </w:t>
      </w:r>
      <w:r w:rsidR="00EC7943" w:rsidRPr="00814236">
        <w:rPr>
          <w:noProof/>
        </w:rPr>
        <w:t>1</w:t>
      </w:r>
      <w:r w:rsidR="00AB59D4" w:rsidRPr="00814236">
        <w:rPr>
          <w:rFonts w:cs="Times New Roman"/>
        </w:rPr>
        <w:fldChar w:fldCharType="end"/>
      </w:r>
      <w:r w:rsidRPr="00814236">
        <w:rPr>
          <w:rFonts w:cs="Times New Roman"/>
        </w:rPr>
        <w:t xml:space="preserve">). </w:t>
      </w:r>
    </w:p>
    <w:p w14:paraId="49715E3C" w14:textId="77777777" w:rsidR="00AB59D4" w:rsidRPr="00814236" w:rsidRDefault="00AB59D4" w:rsidP="00141F1C">
      <w:pPr>
        <w:keepNext/>
      </w:pPr>
      <w:r w:rsidRPr="00814236">
        <w:rPr>
          <w:rFonts w:cs="Times New Roman"/>
          <w:noProof/>
        </w:rPr>
        <w:drawing>
          <wp:inline distT="0" distB="0" distL="0" distR="0" wp14:anchorId="5E287EE3" wp14:editId="14E1A160">
            <wp:extent cx="5214960" cy="2720552"/>
            <wp:effectExtent l="0" t="0" r="508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t="9671"/>
                    <a:stretch/>
                  </pic:blipFill>
                  <pic:spPr bwMode="auto">
                    <a:xfrm>
                      <a:off x="0" y="0"/>
                      <a:ext cx="5215890" cy="2721037"/>
                    </a:xfrm>
                    <a:prstGeom prst="rect">
                      <a:avLst/>
                    </a:prstGeom>
                    <a:ln>
                      <a:noFill/>
                    </a:ln>
                    <a:extLst>
                      <a:ext uri="{53640926-AAD7-44D8-BBD7-CCE9431645EC}">
                        <a14:shadowObscured xmlns:a14="http://schemas.microsoft.com/office/drawing/2010/main"/>
                      </a:ext>
                    </a:extLst>
                  </pic:spPr>
                </pic:pic>
              </a:graphicData>
            </a:graphic>
          </wp:inline>
        </w:drawing>
      </w:r>
    </w:p>
    <w:p w14:paraId="6414DEF0" w14:textId="66F417C0" w:rsidR="00AB59D4" w:rsidRPr="00035F4A" w:rsidRDefault="00AB59D4" w:rsidP="00035F4A">
      <w:pPr>
        <w:pStyle w:val="Caption"/>
        <w:spacing w:line="240" w:lineRule="auto"/>
        <w:rPr>
          <w:rFonts w:cs="Times New Roman"/>
          <w:i/>
          <w:sz w:val="18"/>
        </w:rPr>
      </w:pPr>
      <w:bookmarkStart w:id="8" w:name="_Ref533636173"/>
      <w:bookmarkStart w:id="9" w:name="_Toc7073634"/>
      <w:r w:rsidRPr="00035F4A">
        <w:rPr>
          <w:i/>
          <w:sz w:val="18"/>
        </w:rPr>
        <w:t xml:space="preserve">Figure </w:t>
      </w:r>
      <w:r w:rsidR="00FC3AE6" w:rsidRPr="00035F4A">
        <w:rPr>
          <w:i/>
          <w:noProof/>
          <w:sz w:val="18"/>
        </w:rPr>
        <w:fldChar w:fldCharType="begin"/>
      </w:r>
      <w:r w:rsidR="00FC3AE6" w:rsidRPr="00035F4A">
        <w:rPr>
          <w:i/>
          <w:noProof/>
          <w:sz w:val="18"/>
        </w:rPr>
        <w:instrText xml:space="preserve"> SEQ Figure \* ARABIC </w:instrText>
      </w:r>
      <w:r w:rsidR="00FC3AE6" w:rsidRPr="00035F4A">
        <w:rPr>
          <w:i/>
          <w:noProof/>
          <w:sz w:val="18"/>
        </w:rPr>
        <w:fldChar w:fldCharType="separate"/>
      </w:r>
      <w:r w:rsidR="00223050" w:rsidRPr="00035F4A">
        <w:rPr>
          <w:i/>
          <w:noProof/>
          <w:sz w:val="18"/>
        </w:rPr>
        <w:t>1</w:t>
      </w:r>
      <w:r w:rsidR="00FC3AE6" w:rsidRPr="00035F4A">
        <w:rPr>
          <w:i/>
          <w:noProof/>
          <w:sz w:val="18"/>
        </w:rPr>
        <w:fldChar w:fldCharType="end"/>
      </w:r>
      <w:bookmarkEnd w:id="8"/>
      <w:r w:rsidR="00035F4A" w:rsidRPr="00035F4A">
        <w:rPr>
          <w:i/>
          <w:noProof/>
          <w:sz w:val="18"/>
        </w:rPr>
        <w:t>.</w:t>
      </w:r>
      <w:r w:rsidRPr="00035F4A">
        <w:rPr>
          <w:i/>
          <w:sz w:val="18"/>
        </w:rPr>
        <w:t xml:space="preserve"> Consumption pattern over 24 hours. For these simulations, the choice is made to repeat the same pattern every day. The chosen pattern is the pattern of a modal family’s hot water consumption. This pattern is based on Ericson </w:t>
      </w:r>
      <w:r w:rsidR="003363AA">
        <w:rPr>
          <w:i/>
          <w:sz w:val="18"/>
        </w:rPr>
        <w:t>(2009)</w:t>
      </w:r>
      <w:r w:rsidRPr="00035F4A">
        <w:rPr>
          <w:i/>
          <w:sz w:val="18"/>
        </w:rPr>
        <w:t xml:space="preserve"> and adapted to our own measurements. The blue lines are linked to the right scale and depict the water flow. The red line depicts the average temperature of the tank and is linked to the left axis.</w:t>
      </w:r>
      <w:bookmarkEnd w:id="9"/>
    </w:p>
    <w:p w14:paraId="1E7BC89C" w14:textId="7605FF73" w:rsidR="007437AD" w:rsidRPr="00814236" w:rsidRDefault="007437AD" w:rsidP="00141F1C">
      <w:pPr>
        <w:rPr>
          <w:rFonts w:cs="Times New Roman"/>
        </w:rPr>
      </w:pPr>
      <w:r w:rsidRPr="00814236">
        <w:rPr>
          <w:rFonts w:cs="Times New Roman"/>
        </w:rPr>
        <w:lastRenderedPageBreak/>
        <w:t xml:space="preserve">The pattern is assumed to be </w:t>
      </w:r>
      <w:r w:rsidR="00851659" w:rsidRPr="00814236">
        <w:rPr>
          <w:rFonts w:cs="Times New Roman"/>
        </w:rPr>
        <w:t xml:space="preserve">fixed </w:t>
      </w:r>
      <w:r w:rsidRPr="00814236">
        <w:rPr>
          <w:rFonts w:cs="Times New Roman"/>
        </w:rPr>
        <w:t>and repeats itself on a daily basis. As the consumption of the hot water depends on the temperature of the hot water (constant energy flow), there is a need to adapt the mass flow as a function of the temperature in the tank. To compensate for the fluctuating temperature of the tank, the mass flow is recalculated based on the actual average temperature of the storage tank for each timestep in the simulation (15 minutes each).</w:t>
      </w:r>
    </w:p>
    <w:p w14:paraId="3271C32D" w14:textId="6CE0F0BE" w:rsidR="007437AD" w:rsidRPr="00814236" w:rsidRDefault="00191AEA" w:rsidP="00141F1C">
      <w:pPr>
        <w:rPr>
          <w:rFonts w:cs="Times New Roman"/>
        </w:rPr>
      </w:pPr>
      <m:oMathPara>
        <m:oMath>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out</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demand</m:t>
                  </m:r>
                </m:sub>
              </m:sSub>
              <m:r>
                <w:rPr>
                  <w:rFonts w:ascii="Cambria Math" w:hAnsi="Cambria Math" w:cs="Times New Roman"/>
                </w:rPr>
                <m:t>*123</m:t>
              </m:r>
            </m:num>
            <m:den>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tank</m:t>
                  </m:r>
                </m:sub>
              </m:sSub>
              <m:r>
                <w:rPr>
                  <w:rFonts w:ascii="Cambria Math" w:hAnsi="Cambria Math" w:cs="Times New Roman"/>
                </w:rPr>
                <m:t>+273</m:t>
              </m:r>
            </m:den>
          </m:f>
        </m:oMath>
      </m:oMathPara>
    </w:p>
    <w:p w14:paraId="04203339" w14:textId="446D692E" w:rsidR="00947C4A" w:rsidRPr="00814236" w:rsidRDefault="001809D2" w:rsidP="00141F1C">
      <w:pPr>
        <w:rPr>
          <w:rFonts w:cs="Times New Roman"/>
        </w:rPr>
      </w:pPr>
      <w:r w:rsidRPr="00814236">
        <w:rPr>
          <w:rFonts w:cs="Times New Roman"/>
        </w:rPr>
        <w:t xml:space="preserve">Different simulations were run with the above setup. </w:t>
      </w:r>
      <w:r w:rsidR="00D85879" w:rsidRPr="00814236">
        <w:rPr>
          <w:rFonts w:cs="Times New Roman"/>
        </w:rPr>
        <w:t>T</w:t>
      </w:r>
      <w:r w:rsidR="00B93971" w:rsidRPr="00814236">
        <w:rPr>
          <w:rFonts w:cs="Times New Roman"/>
        </w:rPr>
        <w:t>he</w:t>
      </w:r>
      <w:r w:rsidRPr="00814236">
        <w:rPr>
          <w:rFonts w:cs="Times New Roman"/>
        </w:rPr>
        <w:t xml:space="preserve"> results of being able to sell the flexibility and not being able to do this are compared. Note that </w:t>
      </w:r>
      <w:r w:rsidR="003C3CA0">
        <w:rPr>
          <w:rFonts w:cs="Times New Roman"/>
        </w:rPr>
        <w:t xml:space="preserve">while </w:t>
      </w:r>
      <w:r w:rsidRPr="00814236">
        <w:rPr>
          <w:rFonts w:cs="Times New Roman"/>
        </w:rPr>
        <w:t>the same controller is used, in one case</w:t>
      </w:r>
      <w:r w:rsidR="003C3CA0">
        <w:rPr>
          <w:rFonts w:cs="Times New Roman"/>
        </w:rPr>
        <w:t>,</w:t>
      </w:r>
      <w:r w:rsidRPr="00814236">
        <w:rPr>
          <w:rFonts w:cs="Times New Roman"/>
        </w:rPr>
        <w:t xml:space="preserve"> it is allowed to sell the flexibility </w:t>
      </w:r>
      <w:r w:rsidR="003C3CA0">
        <w:rPr>
          <w:rFonts w:cs="Times New Roman"/>
        </w:rPr>
        <w:t xml:space="preserve">while </w:t>
      </w:r>
      <w:r w:rsidRPr="00814236">
        <w:rPr>
          <w:rFonts w:cs="Times New Roman"/>
        </w:rPr>
        <w:t>in the other</w:t>
      </w:r>
      <w:r w:rsidR="003C3CA0">
        <w:rPr>
          <w:rFonts w:cs="Times New Roman"/>
        </w:rPr>
        <w:t xml:space="preserve">, </w:t>
      </w:r>
      <w:r w:rsidRPr="00814236">
        <w:rPr>
          <w:rFonts w:cs="Times New Roman"/>
        </w:rPr>
        <w:t>it is not.</w:t>
      </w:r>
    </w:p>
    <w:p w14:paraId="300895CC" w14:textId="3468D577" w:rsidR="005E67EF" w:rsidRPr="00814236" w:rsidRDefault="003363AA" w:rsidP="00A907D5">
      <w:pPr>
        <w:pStyle w:val="Heading3"/>
      </w:pPr>
      <w:bookmarkStart w:id="10" w:name="_Toc7096529"/>
      <w:r>
        <w:t>2.2</w:t>
      </w:r>
      <w:r w:rsidR="005E67EF" w:rsidRPr="00814236">
        <w:t xml:space="preserve"> Economic analysis</w:t>
      </w:r>
      <w:bookmarkEnd w:id="10"/>
    </w:p>
    <w:p w14:paraId="6385C1F8" w14:textId="49B7FF31" w:rsidR="005E67EF" w:rsidRPr="00814236" w:rsidRDefault="005E67EF" w:rsidP="00141F1C">
      <w:pPr>
        <w:rPr>
          <w:rFonts w:cs="Times New Roman"/>
        </w:rPr>
      </w:pPr>
      <w:r w:rsidRPr="00814236">
        <w:rPr>
          <w:rFonts w:cs="Times New Roman"/>
        </w:rPr>
        <w:t>For the investment analysis</w:t>
      </w:r>
      <w:r w:rsidR="003C3CA0">
        <w:rPr>
          <w:rFonts w:cs="Times New Roman"/>
        </w:rPr>
        <w:t>,</w:t>
      </w:r>
      <w:r w:rsidRPr="00814236">
        <w:rPr>
          <w:rFonts w:cs="Times New Roman"/>
        </w:rPr>
        <w:t xml:space="preserve"> the NPV is calculated out of the simulated cashflows. Further different </w:t>
      </w:r>
      <w:r w:rsidR="00F322D8" w:rsidRPr="00814236">
        <w:rPr>
          <w:rFonts w:cs="Times New Roman"/>
        </w:rPr>
        <w:t>scenarios</w:t>
      </w:r>
      <w:r w:rsidRPr="00814236">
        <w:rPr>
          <w:rFonts w:cs="Times New Roman"/>
        </w:rPr>
        <w:t xml:space="preserve"> are described t</w:t>
      </w:r>
      <w:r w:rsidR="00936B54" w:rsidRPr="00814236">
        <w:rPr>
          <w:rFonts w:cs="Times New Roman"/>
        </w:rPr>
        <w:t xml:space="preserve">hat influence the cashflows and thus the NPV. </w:t>
      </w:r>
    </w:p>
    <w:p w14:paraId="37607C44" w14:textId="18DD091C" w:rsidR="00936B54" w:rsidRPr="00814236" w:rsidRDefault="00936B54" w:rsidP="00141F1C">
      <w:pPr>
        <w:rPr>
          <w:rFonts w:cs="Times New Roman"/>
        </w:rPr>
      </w:pPr>
      <w:r w:rsidRPr="00814236">
        <w:rPr>
          <w:rFonts w:cs="Times New Roman"/>
        </w:rPr>
        <w:t xml:space="preserve">The basic formula that is used is: </w:t>
      </w:r>
    </w:p>
    <w:p w14:paraId="1D6F25BB" w14:textId="77777777" w:rsidR="005E67EF" w:rsidRPr="00814236" w:rsidRDefault="005E67EF" w:rsidP="00141F1C">
      <w:pPr>
        <w:ind w:left="1276"/>
        <w:jc w:val="center"/>
        <w:rPr>
          <w:rFonts w:cs="Times New Roman"/>
        </w:rPr>
      </w:pPr>
      <m:oMath>
        <m:r>
          <w:rPr>
            <w:rFonts w:ascii="Cambria Math" w:hAnsi="Cambria Math" w:cs="Times New Roman"/>
          </w:rPr>
          <m:t>NPV</m:t>
        </m:r>
        <m:r>
          <m:rPr>
            <m:sty m:val="p"/>
          </m:rPr>
          <w:rPr>
            <w:rFonts w:ascii="Cambria Math" w:hAnsi="Cambria Math" w:cs="Times New Roman"/>
          </w:rPr>
          <m:t>=</m:t>
        </m:r>
        <m:nary>
          <m:naryPr>
            <m:chr m:val="∑"/>
            <m:limLoc m:val="undOvr"/>
            <m:ctrlPr>
              <w:rPr>
                <w:rFonts w:ascii="Cambria Math" w:hAnsi="Cambria Math" w:cs="Times New Roman"/>
              </w:rPr>
            </m:ctrlPr>
          </m:naryPr>
          <m:sub>
            <m:r>
              <w:rPr>
                <w:rFonts w:ascii="Cambria Math" w:hAnsi="Cambria Math" w:cs="Times New Roman"/>
              </w:rPr>
              <m:t>t</m:t>
            </m:r>
            <m:r>
              <m:rPr>
                <m:sty m:val="p"/>
              </m:rPr>
              <w:rPr>
                <w:rFonts w:ascii="Cambria Math" w:hAnsi="Cambria Math" w:cs="Times New Roman"/>
              </w:rPr>
              <m:t>=0</m:t>
            </m:r>
          </m:sub>
          <m:sup>
            <m:r>
              <w:rPr>
                <w:rFonts w:ascii="Cambria Math" w:hAnsi="Cambria Math" w:cs="Times New Roman"/>
              </w:rPr>
              <m:t>n</m:t>
            </m:r>
          </m:sup>
          <m:e>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CF</m:t>
                    </m:r>
                  </m:e>
                  <m:sub>
                    <m:r>
                      <w:rPr>
                        <w:rFonts w:ascii="Cambria Math" w:hAnsi="Cambria Math" w:cs="Times New Roman"/>
                      </w:rPr>
                      <m:t>in</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CF</m:t>
                    </m:r>
                  </m:e>
                  <m:sub>
                    <m:r>
                      <w:rPr>
                        <w:rFonts w:ascii="Cambria Math" w:hAnsi="Cambria Math" w:cs="Times New Roman"/>
                      </w:rPr>
                      <m:t>out</m:t>
                    </m:r>
                  </m:sub>
                </m:sSub>
              </m:num>
              <m:den>
                <m:sSup>
                  <m:sSupPr>
                    <m:ctrlPr>
                      <w:rPr>
                        <w:rFonts w:ascii="Cambria Math" w:hAnsi="Cambria Math" w:cs="Times New Roman"/>
                      </w:rPr>
                    </m:ctrlPr>
                  </m:sSupPr>
                  <m:e>
                    <m:r>
                      <m:rPr>
                        <m:sty m:val="p"/>
                      </m:rPr>
                      <w:rPr>
                        <w:rFonts w:ascii="Cambria Math" w:hAnsi="Cambria Math" w:cs="Times New Roman"/>
                      </w:rPr>
                      <m:t>(1+</m:t>
                    </m:r>
                    <m:r>
                      <w:rPr>
                        <w:rFonts w:ascii="Cambria Math" w:hAnsi="Cambria Math" w:cs="Times New Roman"/>
                      </w:rPr>
                      <m:t>i</m:t>
                    </m:r>
                    <m:r>
                      <m:rPr>
                        <m:sty m:val="p"/>
                      </m:rPr>
                      <w:rPr>
                        <w:rFonts w:ascii="Cambria Math" w:hAnsi="Cambria Math" w:cs="Times New Roman"/>
                      </w:rPr>
                      <m:t>)</m:t>
                    </m:r>
                  </m:e>
                  <m:sup>
                    <m:r>
                      <w:rPr>
                        <w:rFonts w:ascii="Cambria Math" w:hAnsi="Cambria Math" w:cs="Times New Roman"/>
                      </w:rPr>
                      <m:t>t</m:t>
                    </m:r>
                  </m:sup>
                </m:sSup>
              </m:den>
            </m:f>
          </m:e>
        </m:nary>
      </m:oMath>
      <w:r w:rsidRPr="00814236">
        <w:rPr>
          <w:rFonts w:eastAsiaTheme="minorEastAsia" w:cs="Times New Roman"/>
        </w:rPr>
        <w:tab/>
      </w:r>
      <w:r w:rsidRPr="00814236">
        <w:rPr>
          <w:rFonts w:eastAsiaTheme="minorEastAsia" w:cs="Times New Roman"/>
        </w:rPr>
        <w:tab/>
        <w:t>(6)</w:t>
      </w:r>
    </w:p>
    <w:p w14:paraId="7B94205F" w14:textId="77777777" w:rsidR="00953797" w:rsidRDefault="008C064D" w:rsidP="008C064D">
      <w:pPr>
        <w:pStyle w:val="NormalWeb"/>
        <w:shd w:val="clear" w:color="auto" w:fill="FFFFFF"/>
        <w:spacing w:before="0" w:beforeAutospacing="0" w:after="120" w:afterAutospacing="0" w:line="480" w:lineRule="auto"/>
        <w:rPr>
          <w:sz w:val="20"/>
          <w:szCs w:val="20"/>
        </w:rPr>
      </w:pPr>
      <w:r>
        <w:rPr>
          <w:sz w:val="20"/>
          <w:szCs w:val="20"/>
        </w:rPr>
        <w:t>w</w:t>
      </w:r>
      <w:r w:rsidR="005E67EF" w:rsidRPr="00A907D5">
        <w:rPr>
          <w:sz w:val="20"/>
          <w:szCs w:val="20"/>
          <w:lang w:val="en-GB"/>
        </w:rPr>
        <w:t xml:space="preserve">here </w:t>
      </w:r>
      <w:proofErr w:type="spellStart"/>
      <w:r w:rsidR="003C3CA0">
        <w:rPr>
          <w:sz w:val="20"/>
          <w:szCs w:val="20"/>
        </w:rPr>
        <w:t>CF</w:t>
      </w:r>
      <w:r w:rsidR="003C3CA0" w:rsidRPr="00A907D5">
        <w:rPr>
          <w:sz w:val="20"/>
          <w:szCs w:val="20"/>
          <w:vertAlign w:val="subscript"/>
        </w:rPr>
        <w:t>in</w:t>
      </w:r>
      <w:proofErr w:type="spellEnd"/>
      <w:r w:rsidR="003C3CA0">
        <w:rPr>
          <w:sz w:val="20"/>
          <w:szCs w:val="20"/>
          <w:vertAlign w:val="subscript"/>
        </w:rPr>
        <w:t xml:space="preserve"> </w:t>
      </w:r>
      <w:r w:rsidR="003C3CA0" w:rsidRPr="00A907D5">
        <w:rPr>
          <w:sz w:val="20"/>
          <w:szCs w:val="20"/>
        </w:rPr>
        <w:t>= cash inflow</w:t>
      </w:r>
      <w:r w:rsidR="003C3CA0">
        <w:rPr>
          <w:sz w:val="20"/>
          <w:szCs w:val="20"/>
          <w:vertAlign w:val="subscript"/>
        </w:rPr>
        <w:t xml:space="preserve"> </w:t>
      </w:r>
      <w:r w:rsidRPr="00A907D5">
        <w:rPr>
          <w:sz w:val="20"/>
          <w:szCs w:val="20"/>
        </w:rPr>
        <w:t xml:space="preserve">during a single period t, </w:t>
      </w:r>
      <w:proofErr w:type="spellStart"/>
      <w:r w:rsidRPr="00A907D5">
        <w:rPr>
          <w:sz w:val="20"/>
          <w:szCs w:val="20"/>
        </w:rPr>
        <w:t>CF</w:t>
      </w:r>
      <w:r>
        <w:rPr>
          <w:sz w:val="20"/>
          <w:szCs w:val="20"/>
          <w:vertAlign w:val="subscript"/>
        </w:rPr>
        <w:t>out</w:t>
      </w:r>
      <w:proofErr w:type="spellEnd"/>
      <w:r>
        <w:rPr>
          <w:sz w:val="20"/>
          <w:szCs w:val="20"/>
          <w:vertAlign w:val="subscript"/>
        </w:rPr>
        <w:t xml:space="preserve"> </w:t>
      </w:r>
      <w:r w:rsidRPr="00A907D5">
        <w:rPr>
          <w:sz w:val="20"/>
          <w:szCs w:val="20"/>
        </w:rPr>
        <w:t>= cash outflow during a single period t</w:t>
      </w:r>
      <w:r>
        <w:rPr>
          <w:sz w:val="20"/>
          <w:szCs w:val="20"/>
        </w:rPr>
        <w:t>,</w:t>
      </w:r>
      <w:r w:rsidRPr="008C064D">
        <w:t xml:space="preserve"> </w:t>
      </w:r>
      <w:r w:rsidRPr="00A907D5">
        <w:rPr>
          <w:rFonts w:ascii="Cambria Math" w:hAnsi="Cambria Math"/>
          <w:i/>
          <w:sz w:val="20"/>
          <w:szCs w:val="20"/>
        </w:rPr>
        <w:t>𝚤</w:t>
      </w:r>
      <w:r w:rsidRPr="00A907D5">
        <w:rPr>
          <w:sz w:val="20"/>
          <w:szCs w:val="20"/>
        </w:rPr>
        <w:t xml:space="preserve"> = discount rate, </w:t>
      </w:r>
      <w:r w:rsidRPr="00A907D5">
        <w:rPr>
          <w:i/>
          <w:sz w:val="20"/>
          <w:szCs w:val="20"/>
        </w:rPr>
        <w:t>t</w:t>
      </w:r>
      <w:r w:rsidRPr="00A907D5">
        <w:rPr>
          <w:sz w:val="20"/>
          <w:szCs w:val="20"/>
        </w:rPr>
        <w:t xml:space="preserve"> = number of time periods (n = 12)</w:t>
      </w:r>
      <w:r w:rsidRPr="008C064D">
        <w:rPr>
          <w:sz w:val="20"/>
          <w:szCs w:val="20"/>
        </w:rPr>
        <w:t xml:space="preserve"> </w:t>
      </w:r>
    </w:p>
    <w:p w14:paraId="2343EBC2" w14:textId="0FCF6DC4" w:rsidR="008C064D" w:rsidRPr="00953797" w:rsidRDefault="00953797" w:rsidP="00953797">
      <w:pPr>
        <w:rPr>
          <w:rFonts w:cs="Times New Roman"/>
        </w:rPr>
      </w:pPr>
      <w:r w:rsidRPr="00323C26">
        <w:rPr>
          <w:rFonts w:cs="Times New Roman"/>
        </w:rPr>
        <w:t xml:space="preserve">The NPV is the sum of the discounted future cashflows that are the result from an initial investment. The NPV has to be greater than zero for the investment to be considered profitable. </w:t>
      </w:r>
      <w:r w:rsidR="008C064D">
        <w:rPr>
          <w:sz w:val="20"/>
          <w:szCs w:val="20"/>
        </w:rPr>
        <w:br w:type="page"/>
      </w:r>
    </w:p>
    <w:p w14:paraId="79DBCCA6" w14:textId="372ED42F" w:rsidR="001809D2" w:rsidRPr="00814236" w:rsidRDefault="008C064D" w:rsidP="003C3CA0">
      <w:pPr>
        <w:pStyle w:val="Heading1"/>
      </w:pPr>
      <w:r>
        <w:rPr>
          <w:rFonts w:cs="Times New Roman"/>
          <w:sz w:val="20"/>
          <w:szCs w:val="20"/>
        </w:rPr>
        <w:lastRenderedPageBreak/>
        <w:t xml:space="preserve"> </w:t>
      </w:r>
      <w:bookmarkStart w:id="11" w:name="_Toc7089444"/>
      <w:bookmarkStart w:id="12" w:name="_Toc7096530"/>
      <w:bookmarkStart w:id="13" w:name="_Toc7089445"/>
      <w:bookmarkStart w:id="14" w:name="_Toc7096531"/>
      <w:bookmarkStart w:id="15" w:name="_Toc7089446"/>
      <w:bookmarkStart w:id="16" w:name="_Toc7096532"/>
      <w:bookmarkStart w:id="17" w:name="_Toc7089447"/>
      <w:bookmarkStart w:id="18" w:name="_Toc7096533"/>
      <w:bookmarkStart w:id="19" w:name="_Toc7089448"/>
      <w:bookmarkStart w:id="20" w:name="_Toc7096534"/>
      <w:bookmarkStart w:id="21" w:name="_Toc7089449"/>
      <w:bookmarkStart w:id="22" w:name="_Toc7096535"/>
      <w:bookmarkStart w:id="23" w:name="_Toc7096536"/>
      <w:bookmarkEnd w:id="11"/>
      <w:bookmarkEnd w:id="12"/>
      <w:bookmarkEnd w:id="13"/>
      <w:bookmarkEnd w:id="14"/>
      <w:bookmarkEnd w:id="15"/>
      <w:bookmarkEnd w:id="16"/>
      <w:bookmarkEnd w:id="17"/>
      <w:bookmarkEnd w:id="18"/>
      <w:bookmarkEnd w:id="19"/>
      <w:bookmarkEnd w:id="20"/>
      <w:bookmarkEnd w:id="21"/>
      <w:bookmarkEnd w:id="22"/>
      <w:r w:rsidR="001809D2" w:rsidRPr="00814236">
        <w:t>Results</w:t>
      </w:r>
      <w:r w:rsidR="00BA071D" w:rsidRPr="00814236">
        <w:t xml:space="preserve"> </w:t>
      </w:r>
      <w:r>
        <w:t>and</w:t>
      </w:r>
      <w:r w:rsidR="00BA071D" w:rsidRPr="00814236">
        <w:t xml:space="preserve"> </w:t>
      </w:r>
      <w:r w:rsidR="003363AA">
        <w:t>D</w:t>
      </w:r>
      <w:r w:rsidR="00BA071D" w:rsidRPr="00814236">
        <w:t>iscussion</w:t>
      </w:r>
      <w:bookmarkEnd w:id="23"/>
    </w:p>
    <w:p w14:paraId="358D3260" w14:textId="7D76A3A9" w:rsidR="002915D5" w:rsidRPr="00814236" w:rsidRDefault="002915D5" w:rsidP="00141F1C">
      <w:pPr>
        <w:rPr>
          <w:rFonts w:cs="Times New Roman"/>
        </w:rPr>
      </w:pPr>
      <w:r w:rsidRPr="00814236">
        <w:rPr>
          <w:rFonts w:cs="Times New Roman"/>
        </w:rPr>
        <w:t xml:space="preserve">The result section is </w:t>
      </w:r>
      <w:r w:rsidR="00F151A3" w:rsidRPr="00814236">
        <w:rPr>
          <w:rFonts w:cs="Times New Roman"/>
        </w:rPr>
        <w:t>divided</w:t>
      </w:r>
      <w:r w:rsidRPr="00814236">
        <w:rPr>
          <w:rFonts w:cs="Times New Roman"/>
        </w:rPr>
        <w:t xml:space="preserve"> in</w:t>
      </w:r>
      <w:r w:rsidR="003363AA">
        <w:rPr>
          <w:rFonts w:cs="Times New Roman"/>
        </w:rPr>
        <w:t>to three</w:t>
      </w:r>
      <w:r w:rsidRPr="00814236">
        <w:rPr>
          <w:rFonts w:cs="Times New Roman"/>
        </w:rPr>
        <w:t xml:space="preserve"> parts. The first part shows the difference in energy usage and revenue from selling flexibility for an EMPC controlled boiler</w:t>
      </w:r>
      <w:r w:rsidR="003363AA">
        <w:rPr>
          <w:rFonts w:cs="Times New Roman"/>
        </w:rPr>
        <w:t>, while t</w:t>
      </w:r>
      <w:r w:rsidRPr="00814236">
        <w:rPr>
          <w:rFonts w:cs="Times New Roman"/>
        </w:rPr>
        <w:t>he second show</w:t>
      </w:r>
      <w:r w:rsidR="003363AA">
        <w:rPr>
          <w:rFonts w:cs="Times New Roman"/>
        </w:rPr>
        <w:t>s</w:t>
      </w:r>
      <w:r w:rsidRPr="00814236">
        <w:rPr>
          <w:rFonts w:cs="Times New Roman"/>
        </w:rPr>
        <w:t xml:space="preserve"> the effect of better insulating the boiler</w:t>
      </w:r>
      <w:r w:rsidR="00093E5A">
        <w:rPr>
          <w:rFonts w:cs="Times New Roman"/>
        </w:rPr>
        <w:t xml:space="preserve"> in terms of </w:t>
      </w:r>
      <w:r w:rsidRPr="00814236">
        <w:rPr>
          <w:rFonts w:cs="Times New Roman"/>
        </w:rPr>
        <w:t>energy losses</w:t>
      </w:r>
      <w:r w:rsidR="00093E5A">
        <w:rPr>
          <w:rFonts w:cs="Times New Roman"/>
        </w:rPr>
        <w:t xml:space="preserve"> and </w:t>
      </w:r>
      <w:r w:rsidRPr="00814236">
        <w:rPr>
          <w:rFonts w:cs="Times New Roman"/>
        </w:rPr>
        <w:t>revenue from selling flexibility.</w:t>
      </w:r>
      <w:r w:rsidR="00141F1C" w:rsidRPr="00814236">
        <w:rPr>
          <w:rFonts w:cs="Times New Roman"/>
        </w:rPr>
        <w:t xml:space="preserve"> </w:t>
      </w:r>
      <w:r w:rsidRPr="00814236">
        <w:rPr>
          <w:rFonts w:cs="Times New Roman"/>
        </w:rPr>
        <w:t>The last section summar</w:t>
      </w:r>
      <w:r w:rsidR="00E927FA" w:rsidRPr="00814236">
        <w:rPr>
          <w:rFonts w:cs="Times New Roman"/>
        </w:rPr>
        <w:t>is</w:t>
      </w:r>
      <w:r w:rsidRPr="00814236">
        <w:rPr>
          <w:rFonts w:cs="Times New Roman"/>
        </w:rPr>
        <w:t>es the economic feasibility of the solution and the robustness of the investment.</w:t>
      </w:r>
    </w:p>
    <w:p w14:paraId="63F3AE8A" w14:textId="4B7174F1" w:rsidR="00C43351" w:rsidRPr="00814236" w:rsidRDefault="003363AA" w:rsidP="00A907D5">
      <w:pPr>
        <w:pStyle w:val="Heading3"/>
      </w:pPr>
      <w:bookmarkStart w:id="24" w:name="_Toc7096537"/>
      <w:r>
        <w:t xml:space="preserve">3.1 </w:t>
      </w:r>
      <w:r w:rsidR="007F1AEC" w:rsidRPr="00814236">
        <w:t>Conventional boiler</w:t>
      </w:r>
      <w:r w:rsidR="008B40E6" w:rsidRPr="00814236">
        <w:t xml:space="preserve"> and </w:t>
      </w:r>
      <w:r w:rsidR="007F1AEC" w:rsidRPr="00814236">
        <w:t xml:space="preserve">advanced control: </w:t>
      </w:r>
      <w:r>
        <w:t>A</w:t>
      </w:r>
      <w:r w:rsidR="00C43351" w:rsidRPr="00814236">
        <w:t>nalysis of monthly net cash flows</w:t>
      </w:r>
      <w:bookmarkEnd w:id="24"/>
    </w:p>
    <w:p w14:paraId="46901C49" w14:textId="18795613" w:rsidR="001809D2" w:rsidRPr="00814236" w:rsidRDefault="00C43351" w:rsidP="00A907D5">
      <w:pPr>
        <w:rPr>
          <w:i/>
        </w:rPr>
      </w:pPr>
      <w:r w:rsidRPr="00814236">
        <w:rPr>
          <w:rFonts w:cs="Times New Roman"/>
        </w:rPr>
        <w:t>For the year 2017</w:t>
      </w:r>
      <w:r w:rsidR="003363AA">
        <w:rPr>
          <w:rFonts w:cs="Times New Roman"/>
        </w:rPr>
        <w:t>,</w:t>
      </w:r>
      <w:r w:rsidRPr="00814236">
        <w:rPr>
          <w:rFonts w:cs="Times New Roman"/>
        </w:rPr>
        <w:t xml:space="preserve"> the quart-hourly values of the net regulation volume were processed </w:t>
      </w:r>
      <w:r w:rsidR="003363AA">
        <w:rPr>
          <w:rFonts w:cs="Times New Roman"/>
        </w:rPr>
        <w:t>with</w:t>
      </w:r>
      <w:r w:rsidRPr="00814236">
        <w:rPr>
          <w:rFonts w:cs="Times New Roman"/>
        </w:rPr>
        <w:t xml:space="preserve"> the assumption that a domestic boiler with constant usage pattern, controlled by an advanced controller (</w:t>
      </w:r>
      <w:r w:rsidR="005D53A5" w:rsidRPr="00814236">
        <w:rPr>
          <w:rFonts w:cs="Times New Roman"/>
        </w:rPr>
        <w:t>E</w:t>
      </w:r>
      <w:r w:rsidRPr="00814236">
        <w:rPr>
          <w:rFonts w:cs="Times New Roman"/>
        </w:rPr>
        <w:t>MPC), delivers stabil</w:t>
      </w:r>
      <w:r w:rsidR="00E927FA" w:rsidRPr="00814236">
        <w:rPr>
          <w:rFonts w:cs="Times New Roman"/>
        </w:rPr>
        <w:t>is</w:t>
      </w:r>
      <w:r w:rsidRPr="00814236">
        <w:rPr>
          <w:rFonts w:cs="Times New Roman"/>
        </w:rPr>
        <w:t xml:space="preserve">ation energy towards the net. </w:t>
      </w:r>
      <w:r w:rsidR="003363AA">
        <w:rPr>
          <w:rFonts w:cs="Times New Roman"/>
        </w:rPr>
        <w:t>T</w:t>
      </w:r>
      <w:r w:rsidRPr="00814236">
        <w:rPr>
          <w:rFonts w:cs="Times New Roman"/>
        </w:rPr>
        <w:t>he results are summar</w:t>
      </w:r>
      <w:r w:rsidR="00E927FA" w:rsidRPr="00814236">
        <w:rPr>
          <w:rFonts w:cs="Times New Roman"/>
        </w:rPr>
        <w:t>is</w:t>
      </w:r>
      <w:r w:rsidRPr="00814236">
        <w:rPr>
          <w:rFonts w:cs="Times New Roman"/>
        </w:rPr>
        <w:t>ed</w:t>
      </w:r>
      <w:r w:rsidR="003363AA" w:rsidRPr="003363AA">
        <w:t xml:space="preserve"> </w:t>
      </w:r>
      <w:r w:rsidR="003363AA">
        <w:t>i</w:t>
      </w:r>
      <w:r w:rsidR="003363AA" w:rsidRPr="003363AA">
        <w:rPr>
          <w:rFonts w:cs="Times New Roman"/>
        </w:rPr>
        <w:t>n Table 1</w:t>
      </w:r>
      <w:r w:rsidRPr="00814236">
        <w:rPr>
          <w:rFonts w:cs="Times New Roman"/>
        </w:rPr>
        <w:t xml:space="preserve">. </w:t>
      </w: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3"/>
        <w:gridCol w:w="992"/>
        <w:gridCol w:w="979"/>
        <w:gridCol w:w="1133"/>
        <w:gridCol w:w="1502"/>
        <w:gridCol w:w="1097"/>
        <w:gridCol w:w="1268"/>
      </w:tblGrid>
      <w:tr w:rsidR="001809D2" w:rsidRPr="00814236" w14:paraId="33060664" w14:textId="77777777" w:rsidTr="00640C27">
        <w:trPr>
          <w:jc w:val="center"/>
        </w:trPr>
        <w:tc>
          <w:tcPr>
            <w:tcW w:w="0" w:type="auto"/>
            <w:tcBorders>
              <w:top w:val="single" w:sz="4" w:space="0" w:color="auto"/>
              <w:bottom w:val="single" w:sz="4" w:space="0" w:color="auto"/>
            </w:tcBorders>
          </w:tcPr>
          <w:p w14:paraId="2199EA99" w14:textId="77777777" w:rsidR="001809D2" w:rsidRPr="00814236" w:rsidRDefault="001809D2" w:rsidP="00A907D5">
            <w:pPr>
              <w:spacing w:line="240" w:lineRule="auto"/>
              <w:jc w:val="center"/>
              <w:rPr>
                <w:rFonts w:cs="Times New Roman"/>
                <w:b/>
                <w:sz w:val="22"/>
              </w:rPr>
            </w:pPr>
            <w:r w:rsidRPr="00814236">
              <w:rPr>
                <w:rFonts w:cs="Times New Roman"/>
                <w:b/>
                <w:sz w:val="22"/>
              </w:rPr>
              <w:t>Month</w:t>
            </w:r>
          </w:p>
        </w:tc>
        <w:tc>
          <w:tcPr>
            <w:tcW w:w="0" w:type="auto"/>
            <w:tcBorders>
              <w:top w:val="single" w:sz="4" w:space="0" w:color="auto"/>
              <w:bottom w:val="single" w:sz="4" w:space="0" w:color="auto"/>
            </w:tcBorders>
          </w:tcPr>
          <w:p w14:paraId="5C0DF646" w14:textId="0F3D2FF9" w:rsidR="001809D2" w:rsidRPr="00814236" w:rsidRDefault="001809D2" w:rsidP="00A907D5">
            <w:pPr>
              <w:spacing w:line="240" w:lineRule="auto"/>
              <w:jc w:val="center"/>
              <w:rPr>
                <w:rFonts w:cs="Times New Roman"/>
                <w:b/>
                <w:sz w:val="22"/>
              </w:rPr>
            </w:pPr>
            <w:r w:rsidRPr="00814236">
              <w:rPr>
                <w:rFonts w:cs="Times New Roman"/>
                <w:b/>
                <w:sz w:val="22"/>
              </w:rPr>
              <w:t>Cost energy without flex [euros]</w:t>
            </w:r>
          </w:p>
        </w:tc>
        <w:tc>
          <w:tcPr>
            <w:tcW w:w="0" w:type="auto"/>
            <w:tcBorders>
              <w:top w:val="single" w:sz="4" w:space="0" w:color="auto"/>
              <w:bottom w:val="single" w:sz="4" w:space="0" w:color="auto"/>
            </w:tcBorders>
          </w:tcPr>
          <w:p w14:paraId="0A015EE1" w14:textId="1EBDAB2D" w:rsidR="001809D2" w:rsidRPr="00814236" w:rsidRDefault="001809D2" w:rsidP="00A907D5">
            <w:pPr>
              <w:spacing w:line="240" w:lineRule="auto"/>
              <w:jc w:val="center"/>
              <w:rPr>
                <w:rFonts w:cs="Times New Roman"/>
                <w:b/>
                <w:sz w:val="22"/>
              </w:rPr>
            </w:pPr>
            <w:r w:rsidRPr="00814236">
              <w:rPr>
                <w:rFonts w:cs="Times New Roman"/>
                <w:b/>
                <w:sz w:val="22"/>
              </w:rPr>
              <w:t>Cost energy with flex [euros]</w:t>
            </w:r>
          </w:p>
        </w:tc>
        <w:tc>
          <w:tcPr>
            <w:tcW w:w="0" w:type="auto"/>
            <w:tcBorders>
              <w:top w:val="single" w:sz="4" w:space="0" w:color="auto"/>
              <w:bottom w:val="single" w:sz="4" w:space="0" w:color="auto"/>
            </w:tcBorders>
          </w:tcPr>
          <w:p w14:paraId="71A18FDD" w14:textId="77777777" w:rsidR="001809D2" w:rsidRPr="00814236" w:rsidRDefault="001809D2" w:rsidP="00A907D5">
            <w:pPr>
              <w:spacing w:line="240" w:lineRule="auto"/>
              <w:jc w:val="center"/>
              <w:rPr>
                <w:rFonts w:cs="Times New Roman"/>
                <w:b/>
                <w:color w:val="000000" w:themeColor="text1"/>
                <w:sz w:val="22"/>
              </w:rPr>
            </w:pPr>
            <w:r w:rsidRPr="00814236">
              <w:rPr>
                <w:rFonts w:cs="Times New Roman"/>
                <w:b/>
                <w:color w:val="000000" w:themeColor="text1"/>
                <w:sz w:val="22"/>
              </w:rPr>
              <w:t>Increase in energy cost [%]</w:t>
            </w:r>
          </w:p>
          <w:p w14:paraId="5E18FEFB" w14:textId="6D5CA2E1" w:rsidR="001809D2" w:rsidRPr="00814236" w:rsidRDefault="001809D2" w:rsidP="00A907D5">
            <w:pPr>
              <w:spacing w:line="240" w:lineRule="auto"/>
              <w:jc w:val="center"/>
              <w:rPr>
                <w:rFonts w:cs="Times New Roman"/>
                <w:b/>
                <w:color w:val="000000" w:themeColor="text1"/>
                <w:sz w:val="22"/>
              </w:rPr>
            </w:pPr>
          </w:p>
        </w:tc>
        <w:tc>
          <w:tcPr>
            <w:tcW w:w="0" w:type="auto"/>
            <w:tcBorders>
              <w:top w:val="single" w:sz="4" w:space="0" w:color="auto"/>
              <w:bottom w:val="single" w:sz="4" w:space="0" w:color="auto"/>
            </w:tcBorders>
          </w:tcPr>
          <w:p w14:paraId="7FFABA06" w14:textId="77777777" w:rsidR="001809D2" w:rsidRPr="00814236" w:rsidRDefault="001809D2" w:rsidP="00A907D5">
            <w:pPr>
              <w:spacing w:line="240" w:lineRule="auto"/>
              <w:jc w:val="center"/>
              <w:rPr>
                <w:rFonts w:cs="Times New Roman"/>
                <w:b/>
                <w:sz w:val="22"/>
              </w:rPr>
            </w:pPr>
            <w:bookmarkStart w:id="25" w:name="OLE_LINK1"/>
            <w:r w:rsidRPr="00814236">
              <w:rPr>
                <w:rFonts w:cs="Times New Roman"/>
                <w:b/>
                <w:sz w:val="22"/>
              </w:rPr>
              <w:t xml:space="preserve">Revenue imbalance participation </w:t>
            </w:r>
            <w:bookmarkEnd w:id="25"/>
            <w:r w:rsidRPr="00814236">
              <w:rPr>
                <w:rFonts w:cs="Times New Roman"/>
                <w:b/>
                <w:sz w:val="22"/>
              </w:rPr>
              <w:t>[euros]</w:t>
            </w:r>
          </w:p>
          <w:p w14:paraId="50BF6606" w14:textId="15E18129" w:rsidR="001809D2" w:rsidRPr="00814236" w:rsidRDefault="001809D2" w:rsidP="00A907D5">
            <w:pPr>
              <w:spacing w:line="240" w:lineRule="auto"/>
              <w:jc w:val="center"/>
              <w:rPr>
                <w:rFonts w:cs="Times New Roman"/>
                <w:b/>
                <w:sz w:val="22"/>
              </w:rPr>
            </w:pPr>
          </w:p>
        </w:tc>
        <w:tc>
          <w:tcPr>
            <w:tcW w:w="1097" w:type="dxa"/>
            <w:tcBorders>
              <w:top w:val="single" w:sz="4" w:space="0" w:color="auto"/>
              <w:bottom w:val="single" w:sz="4" w:space="0" w:color="auto"/>
            </w:tcBorders>
          </w:tcPr>
          <w:p w14:paraId="59B9D91B" w14:textId="77777777" w:rsidR="001809D2" w:rsidRPr="00814236" w:rsidRDefault="001809D2" w:rsidP="00A907D5">
            <w:pPr>
              <w:spacing w:line="240" w:lineRule="auto"/>
              <w:jc w:val="center"/>
              <w:rPr>
                <w:rFonts w:cs="Times New Roman"/>
                <w:b/>
                <w:sz w:val="22"/>
              </w:rPr>
            </w:pPr>
            <w:r w:rsidRPr="00814236">
              <w:rPr>
                <w:rFonts w:cs="Times New Roman"/>
                <w:b/>
                <w:sz w:val="22"/>
              </w:rPr>
              <w:t>Cashflow with flex [euros]</w:t>
            </w:r>
          </w:p>
          <w:p w14:paraId="49CAD459" w14:textId="0724B945" w:rsidR="001809D2" w:rsidRPr="00814236" w:rsidRDefault="001809D2" w:rsidP="00A907D5">
            <w:pPr>
              <w:spacing w:line="240" w:lineRule="auto"/>
              <w:jc w:val="center"/>
              <w:rPr>
                <w:rFonts w:cs="Times New Roman"/>
                <w:b/>
                <w:sz w:val="22"/>
              </w:rPr>
            </w:pPr>
          </w:p>
        </w:tc>
        <w:tc>
          <w:tcPr>
            <w:tcW w:w="1268" w:type="dxa"/>
            <w:tcBorders>
              <w:top w:val="single" w:sz="4" w:space="0" w:color="auto"/>
              <w:bottom w:val="single" w:sz="4" w:space="0" w:color="auto"/>
            </w:tcBorders>
          </w:tcPr>
          <w:p w14:paraId="0541379F" w14:textId="77777777" w:rsidR="001809D2" w:rsidRPr="00814236" w:rsidRDefault="001809D2" w:rsidP="00A907D5">
            <w:pPr>
              <w:spacing w:line="240" w:lineRule="auto"/>
              <w:jc w:val="center"/>
              <w:rPr>
                <w:rFonts w:cs="Times New Roman"/>
                <w:b/>
                <w:sz w:val="22"/>
              </w:rPr>
            </w:pPr>
            <w:r w:rsidRPr="00814236">
              <w:rPr>
                <w:rFonts w:cs="Times New Roman"/>
                <w:b/>
                <w:sz w:val="22"/>
              </w:rPr>
              <w:t>Total net to gain [euros]</w:t>
            </w:r>
          </w:p>
          <w:p w14:paraId="31FF87B5" w14:textId="26E44876" w:rsidR="001809D2" w:rsidRPr="00814236" w:rsidRDefault="001809D2" w:rsidP="00A907D5">
            <w:pPr>
              <w:spacing w:line="240" w:lineRule="auto"/>
              <w:jc w:val="center"/>
              <w:rPr>
                <w:rFonts w:cs="Times New Roman"/>
                <w:b/>
                <w:sz w:val="22"/>
              </w:rPr>
            </w:pPr>
          </w:p>
        </w:tc>
      </w:tr>
      <w:tr w:rsidR="002D2D97" w:rsidRPr="00814236" w14:paraId="337CF331" w14:textId="77777777" w:rsidTr="00640C27">
        <w:trPr>
          <w:jc w:val="center"/>
        </w:trPr>
        <w:tc>
          <w:tcPr>
            <w:tcW w:w="0" w:type="auto"/>
            <w:tcBorders>
              <w:top w:val="single" w:sz="4" w:space="0" w:color="auto"/>
              <w:bottom w:val="single" w:sz="4" w:space="0" w:color="auto"/>
            </w:tcBorders>
          </w:tcPr>
          <w:p w14:paraId="3CBCCDC2" w14:textId="77777777" w:rsidR="002D2D97" w:rsidRPr="00814236" w:rsidRDefault="002D2D97" w:rsidP="00A907D5">
            <w:pPr>
              <w:spacing w:line="240" w:lineRule="auto"/>
              <w:jc w:val="center"/>
              <w:rPr>
                <w:rFonts w:cs="Times New Roman"/>
                <w:b/>
                <w:sz w:val="22"/>
              </w:rPr>
            </w:pPr>
          </w:p>
        </w:tc>
        <w:tc>
          <w:tcPr>
            <w:tcW w:w="0" w:type="auto"/>
            <w:tcBorders>
              <w:top w:val="single" w:sz="4" w:space="0" w:color="auto"/>
              <w:bottom w:val="single" w:sz="4" w:space="0" w:color="auto"/>
            </w:tcBorders>
          </w:tcPr>
          <w:p w14:paraId="322E6072" w14:textId="5B8A73FE" w:rsidR="002D2D97" w:rsidRPr="00814236" w:rsidRDefault="002D2D97" w:rsidP="00A907D5">
            <w:pPr>
              <w:spacing w:line="240" w:lineRule="auto"/>
              <w:jc w:val="center"/>
              <w:rPr>
                <w:rFonts w:cs="Times New Roman"/>
                <w:b/>
                <w:sz w:val="22"/>
              </w:rPr>
            </w:pPr>
            <w:r w:rsidRPr="00814236">
              <w:rPr>
                <w:rFonts w:cs="Times New Roman"/>
                <w:b/>
                <w:sz w:val="22"/>
              </w:rPr>
              <w:t>A</w:t>
            </w:r>
          </w:p>
        </w:tc>
        <w:tc>
          <w:tcPr>
            <w:tcW w:w="0" w:type="auto"/>
            <w:tcBorders>
              <w:top w:val="single" w:sz="4" w:space="0" w:color="auto"/>
              <w:bottom w:val="single" w:sz="4" w:space="0" w:color="auto"/>
            </w:tcBorders>
          </w:tcPr>
          <w:p w14:paraId="3836CE81" w14:textId="6990C544" w:rsidR="002D2D97" w:rsidRPr="00814236" w:rsidRDefault="002D2D97" w:rsidP="00A907D5">
            <w:pPr>
              <w:spacing w:line="240" w:lineRule="auto"/>
              <w:jc w:val="center"/>
              <w:rPr>
                <w:rFonts w:cs="Times New Roman"/>
                <w:b/>
                <w:sz w:val="22"/>
              </w:rPr>
            </w:pPr>
            <w:r w:rsidRPr="00814236">
              <w:rPr>
                <w:rFonts w:cs="Times New Roman"/>
                <w:b/>
                <w:sz w:val="22"/>
              </w:rPr>
              <w:t>B</w:t>
            </w:r>
          </w:p>
        </w:tc>
        <w:tc>
          <w:tcPr>
            <w:tcW w:w="0" w:type="auto"/>
            <w:tcBorders>
              <w:top w:val="single" w:sz="4" w:space="0" w:color="auto"/>
              <w:bottom w:val="single" w:sz="4" w:space="0" w:color="auto"/>
            </w:tcBorders>
          </w:tcPr>
          <w:p w14:paraId="299D0394" w14:textId="71ECB46A" w:rsidR="002D2D97" w:rsidRPr="00814236" w:rsidRDefault="002D2D97" w:rsidP="00A907D5">
            <w:pPr>
              <w:spacing w:line="240" w:lineRule="auto"/>
              <w:jc w:val="center"/>
              <w:rPr>
                <w:rFonts w:cs="Times New Roman"/>
                <w:b/>
                <w:color w:val="000000" w:themeColor="text1"/>
                <w:sz w:val="22"/>
              </w:rPr>
            </w:pPr>
            <w:r w:rsidRPr="00814236">
              <w:rPr>
                <w:rFonts w:cs="Times New Roman"/>
                <w:b/>
                <w:color w:val="000000" w:themeColor="text1"/>
                <w:sz w:val="22"/>
              </w:rPr>
              <w:t>C</w:t>
            </w:r>
          </w:p>
        </w:tc>
        <w:tc>
          <w:tcPr>
            <w:tcW w:w="0" w:type="auto"/>
            <w:tcBorders>
              <w:top w:val="single" w:sz="4" w:space="0" w:color="auto"/>
              <w:bottom w:val="single" w:sz="4" w:space="0" w:color="auto"/>
            </w:tcBorders>
          </w:tcPr>
          <w:p w14:paraId="079F2102" w14:textId="20D24A3C" w:rsidR="002D2D97" w:rsidRPr="00814236" w:rsidRDefault="002D2D97" w:rsidP="00A907D5">
            <w:pPr>
              <w:spacing w:line="240" w:lineRule="auto"/>
              <w:jc w:val="center"/>
              <w:rPr>
                <w:rFonts w:cs="Times New Roman"/>
                <w:b/>
                <w:sz w:val="22"/>
              </w:rPr>
            </w:pPr>
            <w:r w:rsidRPr="00814236">
              <w:rPr>
                <w:rFonts w:cs="Times New Roman"/>
                <w:b/>
                <w:sz w:val="22"/>
              </w:rPr>
              <w:t>D</w:t>
            </w:r>
          </w:p>
        </w:tc>
        <w:tc>
          <w:tcPr>
            <w:tcW w:w="1097" w:type="dxa"/>
            <w:tcBorders>
              <w:top w:val="single" w:sz="4" w:space="0" w:color="auto"/>
              <w:bottom w:val="single" w:sz="4" w:space="0" w:color="auto"/>
            </w:tcBorders>
          </w:tcPr>
          <w:p w14:paraId="7EC1EDD7" w14:textId="3E538DBB" w:rsidR="002D2D97" w:rsidRPr="00814236" w:rsidRDefault="002D2D97" w:rsidP="00A907D5">
            <w:pPr>
              <w:spacing w:line="240" w:lineRule="auto"/>
              <w:jc w:val="center"/>
              <w:rPr>
                <w:rFonts w:cs="Times New Roman"/>
                <w:b/>
                <w:sz w:val="22"/>
              </w:rPr>
            </w:pPr>
            <w:r w:rsidRPr="00814236">
              <w:rPr>
                <w:rFonts w:cs="Times New Roman"/>
                <w:b/>
                <w:sz w:val="22"/>
              </w:rPr>
              <w:t>B-D</w:t>
            </w:r>
          </w:p>
        </w:tc>
        <w:tc>
          <w:tcPr>
            <w:tcW w:w="1268" w:type="dxa"/>
            <w:tcBorders>
              <w:top w:val="single" w:sz="4" w:space="0" w:color="auto"/>
              <w:bottom w:val="single" w:sz="4" w:space="0" w:color="auto"/>
            </w:tcBorders>
          </w:tcPr>
          <w:p w14:paraId="70CE4012" w14:textId="56290FD0" w:rsidR="002D2D97" w:rsidRPr="00814236" w:rsidRDefault="002D2D97" w:rsidP="00A907D5">
            <w:pPr>
              <w:spacing w:line="240" w:lineRule="auto"/>
              <w:jc w:val="center"/>
              <w:rPr>
                <w:rFonts w:cs="Times New Roman"/>
                <w:b/>
                <w:sz w:val="22"/>
              </w:rPr>
            </w:pPr>
            <w:r w:rsidRPr="00814236">
              <w:rPr>
                <w:rFonts w:cs="Times New Roman"/>
                <w:b/>
                <w:sz w:val="22"/>
              </w:rPr>
              <w:t>|A| + (B-D)</w:t>
            </w:r>
          </w:p>
        </w:tc>
      </w:tr>
      <w:tr w:rsidR="001809D2" w:rsidRPr="00814236" w14:paraId="3ECE46F3" w14:textId="77777777" w:rsidTr="00640C27">
        <w:trPr>
          <w:jc w:val="center"/>
        </w:trPr>
        <w:tc>
          <w:tcPr>
            <w:tcW w:w="0" w:type="auto"/>
            <w:tcBorders>
              <w:top w:val="single" w:sz="4" w:space="0" w:color="auto"/>
            </w:tcBorders>
          </w:tcPr>
          <w:p w14:paraId="093009CA" w14:textId="77777777" w:rsidR="001809D2" w:rsidRPr="00814236" w:rsidRDefault="001809D2" w:rsidP="00A907D5">
            <w:pPr>
              <w:pStyle w:val="NoSpacing"/>
            </w:pPr>
            <w:r w:rsidRPr="00814236">
              <w:t>January</w:t>
            </w:r>
          </w:p>
        </w:tc>
        <w:tc>
          <w:tcPr>
            <w:tcW w:w="0" w:type="auto"/>
            <w:tcBorders>
              <w:top w:val="single" w:sz="4" w:space="0" w:color="auto"/>
            </w:tcBorders>
          </w:tcPr>
          <w:p w14:paraId="12F44D99" w14:textId="77777777" w:rsidR="001809D2" w:rsidRPr="00814236" w:rsidRDefault="001809D2" w:rsidP="00A907D5">
            <w:pPr>
              <w:pStyle w:val="NoSpacing"/>
            </w:pPr>
            <w:r w:rsidRPr="00814236">
              <w:t>96.84</w:t>
            </w:r>
          </w:p>
        </w:tc>
        <w:tc>
          <w:tcPr>
            <w:tcW w:w="0" w:type="auto"/>
            <w:tcBorders>
              <w:top w:val="single" w:sz="4" w:space="0" w:color="auto"/>
            </w:tcBorders>
          </w:tcPr>
          <w:p w14:paraId="4151976F" w14:textId="77777777" w:rsidR="001809D2" w:rsidRPr="00814236" w:rsidRDefault="001809D2" w:rsidP="00A907D5">
            <w:pPr>
              <w:pStyle w:val="NoSpacing"/>
            </w:pPr>
            <w:r w:rsidRPr="00814236">
              <w:t>92.61</w:t>
            </w:r>
          </w:p>
        </w:tc>
        <w:tc>
          <w:tcPr>
            <w:tcW w:w="0" w:type="auto"/>
            <w:tcBorders>
              <w:top w:val="single" w:sz="4" w:space="0" w:color="auto"/>
            </w:tcBorders>
          </w:tcPr>
          <w:p w14:paraId="722B67A5" w14:textId="77777777" w:rsidR="001809D2" w:rsidRPr="00814236" w:rsidRDefault="001809D2" w:rsidP="00A907D5">
            <w:pPr>
              <w:pStyle w:val="NoSpacing"/>
              <w:rPr>
                <w:color w:val="000000" w:themeColor="text1"/>
              </w:rPr>
            </w:pPr>
            <w:r w:rsidRPr="00814236">
              <w:rPr>
                <w:color w:val="000000" w:themeColor="text1"/>
              </w:rPr>
              <w:t>-4.37%</w:t>
            </w:r>
          </w:p>
        </w:tc>
        <w:tc>
          <w:tcPr>
            <w:tcW w:w="0" w:type="auto"/>
            <w:tcBorders>
              <w:top w:val="single" w:sz="4" w:space="0" w:color="auto"/>
            </w:tcBorders>
          </w:tcPr>
          <w:p w14:paraId="06341B7B" w14:textId="77777777" w:rsidR="001809D2" w:rsidRPr="00814236" w:rsidRDefault="001809D2" w:rsidP="00A907D5">
            <w:pPr>
              <w:pStyle w:val="NoSpacing"/>
            </w:pPr>
            <w:r w:rsidRPr="00814236">
              <w:t>166.50</w:t>
            </w:r>
          </w:p>
        </w:tc>
        <w:tc>
          <w:tcPr>
            <w:tcW w:w="1097" w:type="dxa"/>
            <w:tcBorders>
              <w:top w:val="single" w:sz="4" w:space="0" w:color="auto"/>
            </w:tcBorders>
          </w:tcPr>
          <w:p w14:paraId="180EFEF3" w14:textId="77777777" w:rsidR="001809D2" w:rsidRPr="00814236" w:rsidRDefault="001809D2" w:rsidP="00A907D5">
            <w:pPr>
              <w:pStyle w:val="NoSpacing"/>
            </w:pPr>
            <w:r w:rsidRPr="00814236">
              <w:t>73.89</w:t>
            </w:r>
          </w:p>
        </w:tc>
        <w:tc>
          <w:tcPr>
            <w:tcW w:w="1268" w:type="dxa"/>
            <w:tcBorders>
              <w:top w:val="single" w:sz="4" w:space="0" w:color="auto"/>
            </w:tcBorders>
          </w:tcPr>
          <w:p w14:paraId="12576BC6" w14:textId="77777777" w:rsidR="001809D2" w:rsidRPr="00814236" w:rsidRDefault="001809D2" w:rsidP="00A907D5">
            <w:pPr>
              <w:pStyle w:val="NoSpacing"/>
            </w:pPr>
            <w:r w:rsidRPr="00814236">
              <w:t>170.73</w:t>
            </w:r>
          </w:p>
        </w:tc>
      </w:tr>
      <w:tr w:rsidR="001809D2" w:rsidRPr="00814236" w14:paraId="193A6910" w14:textId="77777777" w:rsidTr="00640C27">
        <w:trPr>
          <w:jc w:val="center"/>
        </w:trPr>
        <w:tc>
          <w:tcPr>
            <w:tcW w:w="0" w:type="auto"/>
          </w:tcPr>
          <w:p w14:paraId="0A849EB7" w14:textId="77777777" w:rsidR="001809D2" w:rsidRPr="00814236" w:rsidRDefault="001809D2" w:rsidP="00A907D5">
            <w:pPr>
              <w:pStyle w:val="NoSpacing"/>
            </w:pPr>
            <w:r w:rsidRPr="00814236">
              <w:t>February</w:t>
            </w:r>
          </w:p>
        </w:tc>
        <w:tc>
          <w:tcPr>
            <w:tcW w:w="0" w:type="auto"/>
          </w:tcPr>
          <w:p w14:paraId="1CC97C11" w14:textId="77777777" w:rsidR="001809D2" w:rsidRPr="00814236" w:rsidRDefault="001809D2" w:rsidP="00A907D5">
            <w:pPr>
              <w:pStyle w:val="NoSpacing"/>
            </w:pPr>
            <w:r w:rsidRPr="00814236">
              <w:t>86.48</w:t>
            </w:r>
          </w:p>
        </w:tc>
        <w:tc>
          <w:tcPr>
            <w:tcW w:w="0" w:type="auto"/>
          </w:tcPr>
          <w:p w14:paraId="78A96ABE" w14:textId="77777777" w:rsidR="001809D2" w:rsidRPr="00814236" w:rsidRDefault="001809D2" w:rsidP="00A907D5">
            <w:pPr>
              <w:pStyle w:val="NoSpacing"/>
            </w:pPr>
            <w:r w:rsidRPr="00814236">
              <w:t>118.10</w:t>
            </w:r>
          </w:p>
        </w:tc>
        <w:tc>
          <w:tcPr>
            <w:tcW w:w="0" w:type="auto"/>
          </w:tcPr>
          <w:p w14:paraId="167101AC" w14:textId="77777777" w:rsidR="001809D2" w:rsidRPr="00814236" w:rsidRDefault="001809D2" w:rsidP="00A907D5">
            <w:pPr>
              <w:pStyle w:val="NoSpacing"/>
              <w:rPr>
                <w:color w:val="000000" w:themeColor="text1"/>
              </w:rPr>
            </w:pPr>
            <w:r w:rsidRPr="00814236">
              <w:rPr>
                <w:color w:val="000000" w:themeColor="text1"/>
              </w:rPr>
              <w:t>+36.56%</w:t>
            </w:r>
          </w:p>
        </w:tc>
        <w:tc>
          <w:tcPr>
            <w:tcW w:w="0" w:type="auto"/>
          </w:tcPr>
          <w:p w14:paraId="0859E6B3" w14:textId="77777777" w:rsidR="001809D2" w:rsidRPr="00814236" w:rsidRDefault="001809D2" w:rsidP="00A907D5">
            <w:pPr>
              <w:pStyle w:val="NoSpacing"/>
            </w:pPr>
            <w:r w:rsidRPr="00814236">
              <w:t>209.80</w:t>
            </w:r>
          </w:p>
        </w:tc>
        <w:tc>
          <w:tcPr>
            <w:tcW w:w="1097" w:type="dxa"/>
          </w:tcPr>
          <w:p w14:paraId="7BF411E1" w14:textId="77777777" w:rsidR="001809D2" w:rsidRPr="00814236" w:rsidRDefault="001809D2" w:rsidP="00A907D5">
            <w:pPr>
              <w:pStyle w:val="NoSpacing"/>
            </w:pPr>
            <w:r w:rsidRPr="00814236">
              <w:t>91.70</w:t>
            </w:r>
          </w:p>
        </w:tc>
        <w:tc>
          <w:tcPr>
            <w:tcW w:w="1268" w:type="dxa"/>
          </w:tcPr>
          <w:p w14:paraId="5D5ECF0F" w14:textId="77777777" w:rsidR="001809D2" w:rsidRPr="00814236" w:rsidRDefault="001809D2" w:rsidP="00A907D5">
            <w:pPr>
              <w:pStyle w:val="NoSpacing"/>
            </w:pPr>
            <w:r w:rsidRPr="00814236">
              <w:t>178.18</w:t>
            </w:r>
          </w:p>
        </w:tc>
      </w:tr>
      <w:tr w:rsidR="001809D2" w:rsidRPr="00814236" w14:paraId="522CFB9B" w14:textId="77777777" w:rsidTr="00640C27">
        <w:trPr>
          <w:jc w:val="center"/>
        </w:trPr>
        <w:tc>
          <w:tcPr>
            <w:tcW w:w="0" w:type="auto"/>
          </w:tcPr>
          <w:p w14:paraId="70DD52E4" w14:textId="77777777" w:rsidR="001809D2" w:rsidRPr="00814236" w:rsidRDefault="001809D2" w:rsidP="00A907D5">
            <w:pPr>
              <w:pStyle w:val="NoSpacing"/>
            </w:pPr>
            <w:r w:rsidRPr="00814236">
              <w:t>March</w:t>
            </w:r>
          </w:p>
        </w:tc>
        <w:tc>
          <w:tcPr>
            <w:tcW w:w="0" w:type="auto"/>
          </w:tcPr>
          <w:p w14:paraId="75C1EAFD" w14:textId="77777777" w:rsidR="001809D2" w:rsidRPr="00814236" w:rsidRDefault="001809D2" w:rsidP="00A907D5">
            <w:pPr>
              <w:pStyle w:val="NoSpacing"/>
            </w:pPr>
            <w:r w:rsidRPr="00814236">
              <w:t>96.84</w:t>
            </w:r>
          </w:p>
        </w:tc>
        <w:tc>
          <w:tcPr>
            <w:tcW w:w="0" w:type="auto"/>
          </w:tcPr>
          <w:p w14:paraId="2B60D6FC" w14:textId="77777777" w:rsidR="001809D2" w:rsidRPr="00814236" w:rsidRDefault="001809D2" w:rsidP="00A907D5">
            <w:pPr>
              <w:pStyle w:val="NoSpacing"/>
            </w:pPr>
            <w:r w:rsidRPr="00814236">
              <w:t>126.40</w:t>
            </w:r>
          </w:p>
        </w:tc>
        <w:tc>
          <w:tcPr>
            <w:tcW w:w="0" w:type="auto"/>
          </w:tcPr>
          <w:p w14:paraId="3D244AC1" w14:textId="77777777" w:rsidR="001809D2" w:rsidRPr="00814236" w:rsidRDefault="001809D2" w:rsidP="00A907D5">
            <w:pPr>
              <w:pStyle w:val="NoSpacing"/>
              <w:rPr>
                <w:color w:val="000000" w:themeColor="text1"/>
              </w:rPr>
            </w:pPr>
            <w:r w:rsidRPr="00814236">
              <w:rPr>
                <w:color w:val="000000" w:themeColor="text1"/>
              </w:rPr>
              <w:t>+30.52%</w:t>
            </w:r>
          </w:p>
        </w:tc>
        <w:tc>
          <w:tcPr>
            <w:tcW w:w="0" w:type="auto"/>
          </w:tcPr>
          <w:p w14:paraId="34549359" w14:textId="77777777" w:rsidR="001809D2" w:rsidRPr="00814236" w:rsidRDefault="001809D2" w:rsidP="00A907D5">
            <w:pPr>
              <w:pStyle w:val="NoSpacing"/>
            </w:pPr>
            <w:r w:rsidRPr="00814236">
              <w:t>234.40</w:t>
            </w:r>
          </w:p>
        </w:tc>
        <w:tc>
          <w:tcPr>
            <w:tcW w:w="1097" w:type="dxa"/>
          </w:tcPr>
          <w:p w14:paraId="2BA590E1" w14:textId="77777777" w:rsidR="001809D2" w:rsidRPr="00814236" w:rsidRDefault="001809D2" w:rsidP="00A907D5">
            <w:pPr>
              <w:pStyle w:val="NoSpacing"/>
            </w:pPr>
            <w:r w:rsidRPr="00814236">
              <w:t>108.00</w:t>
            </w:r>
          </w:p>
        </w:tc>
        <w:tc>
          <w:tcPr>
            <w:tcW w:w="1268" w:type="dxa"/>
          </w:tcPr>
          <w:p w14:paraId="09B3CF86" w14:textId="77777777" w:rsidR="001809D2" w:rsidRPr="00814236" w:rsidRDefault="001809D2" w:rsidP="00A907D5">
            <w:pPr>
              <w:pStyle w:val="NoSpacing"/>
            </w:pPr>
            <w:r w:rsidRPr="00814236">
              <w:t>204.84</w:t>
            </w:r>
          </w:p>
        </w:tc>
      </w:tr>
      <w:tr w:rsidR="001809D2" w:rsidRPr="00814236" w14:paraId="4B53DB84" w14:textId="77777777" w:rsidTr="00640C27">
        <w:trPr>
          <w:jc w:val="center"/>
        </w:trPr>
        <w:tc>
          <w:tcPr>
            <w:tcW w:w="0" w:type="auto"/>
          </w:tcPr>
          <w:p w14:paraId="22BD3E6E" w14:textId="77777777" w:rsidR="001809D2" w:rsidRPr="00814236" w:rsidRDefault="001809D2" w:rsidP="00A907D5">
            <w:pPr>
              <w:pStyle w:val="NoSpacing"/>
            </w:pPr>
            <w:r w:rsidRPr="00814236">
              <w:t>April</w:t>
            </w:r>
          </w:p>
        </w:tc>
        <w:tc>
          <w:tcPr>
            <w:tcW w:w="0" w:type="auto"/>
          </w:tcPr>
          <w:p w14:paraId="5110C2A0" w14:textId="77777777" w:rsidR="001809D2" w:rsidRPr="00814236" w:rsidRDefault="001809D2" w:rsidP="00A907D5">
            <w:pPr>
              <w:pStyle w:val="NoSpacing"/>
            </w:pPr>
            <w:r w:rsidRPr="00814236">
              <w:t>93.56</w:t>
            </w:r>
          </w:p>
        </w:tc>
        <w:tc>
          <w:tcPr>
            <w:tcW w:w="0" w:type="auto"/>
          </w:tcPr>
          <w:p w14:paraId="0B07449A" w14:textId="77777777" w:rsidR="001809D2" w:rsidRPr="00814236" w:rsidRDefault="001809D2" w:rsidP="00A907D5">
            <w:pPr>
              <w:pStyle w:val="NoSpacing"/>
            </w:pPr>
            <w:r w:rsidRPr="00814236">
              <w:t>115.9</w:t>
            </w:r>
          </w:p>
        </w:tc>
        <w:tc>
          <w:tcPr>
            <w:tcW w:w="0" w:type="auto"/>
          </w:tcPr>
          <w:p w14:paraId="30DF7E92" w14:textId="77777777" w:rsidR="001809D2" w:rsidRPr="00814236" w:rsidRDefault="001809D2" w:rsidP="00A907D5">
            <w:pPr>
              <w:pStyle w:val="NoSpacing"/>
              <w:rPr>
                <w:color w:val="000000" w:themeColor="text1"/>
              </w:rPr>
            </w:pPr>
            <w:r w:rsidRPr="00814236">
              <w:rPr>
                <w:color w:val="000000" w:themeColor="text1"/>
              </w:rPr>
              <w:t>+23.88%</w:t>
            </w:r>
          </w:p>
        </w:tc>
        <w:tc>
          <w:tcPr>
            <w:tcW w:w="0" w:type="auto"/>
          </w:tcPr>
          <w:p w14:paraId="09076A7A" w14:textId="77777777" w:rsidR="001809D2" w:rsidRPr="00814236" w:rsidRDefault="001809D2" w:rsidP="00A907D5">
            <w:pPr>
              <w:pStyle w:val="NoSpacing"/>
            </w:pPr>
            <w:r w:rsidRPr="00814236">
              <w:t>213.20</w:t>
            </w:r>
          </w:p>
        </w:tc>
        <w:tc>
          <w:tcPr>
            <w:tcW w:w="1097" w:type="dxa"/>
          </w:tcPr>
          <w:p w14:paraId="7C8C9013" w14:textId="77777777" w:rsidR="001809D2" w:rsidRPr="00814236" w:rsidRDefault="001809D2" w:rsidP="00A907D5">
            <w:pPr>
              <w:pStyle w:val="NoSpacing"/>
            </w:pPr>
            <w:r w:rsidRPr="00814236">
              <w:t>97.30</w:t>
            </w:r>
          </w:p>
        </w:tc>
        <w:tc>
          <w:tcPr>
            <w:tcW w:w="1268" w:type="dxa"/>
          </w:tcPr>
          <w:p w14:paraId="37802D3A" w14:textId="77777777" w:rsidR="001809D2" w:rsidRPr="00814236" w:rsidRDefault="001809D2" w:rsidP="00A907D5">
            <w:pPr>
              <w:pStyle w:val="NoSpacing"/>
            </w:pPr>
            <w:r w:rsidRPr="00814236">
              <w:t>190.86</w:t>
            </w:r>
          </w:p>
        </w:tc>
      </w:tr>
      <w:tr w:rsidR="001809D2" w:rsidRPr="00814236" w14:paraId="28DC6B96" w14:textId="77777777" w:rsidTr="00640C27">
        <w:trPr>
          <w:jc w:val="center"/>
        </w:trPr>
        <w:tc>
          <w:tcPr>
            <w:tcW w:w="0" w:type="auto"/>
          </w:tcPr>
          <w:p w14:paraId="6B1941CC" w14:textId="77777777" w:rsidR="001809D2" w:rsidRPr="00814236" w:rsidRDefault="001809D2" w:rsidP="00A907D5">
            <w:pPr>
              <w:pStyle w:val="NoSpacing"/>
            </w:pPr>
            <w:r w:rsidRPr="00814236">
              <w:t>May</w:t>
            </w:r>
          </w:p>
        </w:tc>
        <w:tc>
          <w:tcPr>
            <w:tcW w:w="0" w:type="auto"/>
          </w:tcPr>
          <w:p w14:paraId="42FE3010" w14:textId="77777777" w:rsidR="001809D2" w:rsidRPr="00814236" w:rsidRDefault="001809D2" w:rsidP="00A907D5">
            <w:pPr>
              <w:pStyle w:val="NoSpacing"/>
            </w:pPr>
            <w:r w:rsidRPr="00814236">
              <w:t>96.84</w:t>
            </w:r>
          </w:p>
        </w:tc>
        <w:tc>
          <w:tcPr>
            <w:tcW w:w="0" w:type="auto"/>
          </w:tcPr>
          <w:p w14:paraId="2C86A084" w14:textId="77777777" w:rsidR="001809D2" w:rsidRPr="00814236" w:rsidRDefault="001809D2" w:rsidP="00A907D5">
            <w:pPr>
              <w:pStyle w:val="NoSpacing"/>
            </w:pPr>
            <w:r w:rsidRPr="00814236">
              <w:t>90.61</w:t>
            </w:r>
          </w:p>
        </w:tc>
        <w:tc>
          <w:tcPr>
            <w:tcW w:w="0" w:type="auto"/>
          </w:tcPr>
          <w:p w14:paraId="43C8C577" w14:textId="77777777" w:rsidR="001809D2" w:rsidRPr="00814236" w:rsidRDefault="001809D2" w:rsidP="00A907D5">
            <w:pPr>
              <w:pStyle w:val="NoSpacing"/>
              <w:rPr>
                <w:color w:val="000000" w:themeColor="text1"/>
              </w:rPr>
            </w:pPr>
            <w:r w:rsidRPr="00814236">
              <w:rPr>
                <w:color w:val="000000" w:themeColor="text1"/>
              </w:rPr>
              <w:t>-6.43%</w:t>
            </w:r>
          </w:p>
        </w:tc>
        <w:tc>
          <w:tcPr>
            <w:tcW w:w="0" w:type="auto"/>
          </w:tcPr>
          <w:p w14:paraId="084C3416" w14:textId="77777777" w:rsidR="001809D2" w:rsidRPr="00814236" w:rsidRDefault="001809D2" w:rsidP="00A907D5">
            <w:pPr>
              <w:pStyle w:val="NoSpacing"/>
            </w:pPr>
            <w:r w:rsidRPr="00814236">
              <w:t>166.20</w:t>
            </w:r>
          </w:p>
        </w:tc>
        <w:tc>
          <w:tcPr>
            <w:tcW w:w="1097" w:type="dxa"/>
          </w:tcPr>
          <w:p w14:paraId="6E76D8E7" w14:textId="77777777" w:rsidR="001809D2" w:rsidRPr="00814236" w:rsidRDefault="001809D2" w:rsidP="00A907D5">
            <w:pPr>
              <w:pStyle w:val="NoSpacing"/>
            </w:pPr>
            <w:r w:rsidRPr="00814236">
              <w:t>75.59</w:t>
            </w:r>
          </w:p>
        </w:tc>
        <w:tc>
          <w:tcPr>
            <w:tcW w:w="1268" w:type="dxa"/>
          </w:tcPr>
          <w:p w14:paraId="606BF680" w14:textId="77777777" w:rsidR="001809D2" w:rsidRPr="00814236" w:rsidRDefault="001809D2" w:rsidP="00A907D5">
            <w:pPr>
              <w:pStyle w:val="NoSpacing"/>
            </w:pPr>
            <w:r w:rsidRPr="00814236">
              <w:t>172.43</w:t>
            </w:r>
          </w:p>
        </w:tc>
      </w:tr>
      <w:tr w:rsidR="001809D2" w:rsidRPr="00814236" w14:paraId="5DA93EDB" w14:textId="77777777" w:rsidTr="00640C27">
        <w:trPr>
          <w:jc w:val="center"/>
        </w:trPr>
        <w:tc>
          <w:tcPr>
            <w:tcW w:w="0" w:type="auto"/>
          </w:tcPr>
          <w:p w14:paraId="2B18203A" w14:textId="77777777" w:rsidR="001809D2" w:rsidRPr="00814236" w:rsidRDefault="001809D2" w:rsidP="00A907D5">
            <w:pPr>
              <w:pStyle w:val="NoSpacing"/>
            </w:pPr>
            <w:r w:rsidRPr="00814236">
              <w:t>June</w:t>
            </w:r>
          </w:p>
        </w:tc>
        <w:tc>
          <w:tcPr>
            <w:tcW w:w="0" w:type="auto"/>
          </w:tcPr>
          <w:p w14:paraId="57991687" w14:textId="77777777" w:rsidR="001809D2" w:rsidRPr="00814236" w:rsidRDefault="001809D2" w:rsidP="00A907D5">
            <w:pPr>
              <w:pStyle w:val="NoSpacing"/>
            </w:pPr>
            <w:r w:rsidRPr="00814236">
              <w:t>93.57</w:t>
            </w:r>
          </w:p>
        </w:tc>
        <w:tc>
          <w:tcPr>
            <w:tcW w:w="0" w:type="auto"/>
          </w:tcPr>
          <w:p w14:paraId="2702217F" w14:textId="77777777" w:rsidR="001809D2" w:rsidRPr="00814236" w:rsidRDefault="001809D2" w:rsidP="00A907D5">
            <w:pPr>
              <w:pStyle w:val="NoSpacing"/>
            </w:pPr>
            <w:r w:rsidRPr="00814236">
              <w:t>111.10</w:t>
            </w:r>
          </w:p>
        </w:tc>
        <w:tc>
          <w:tcPr>
            <w:tcW w:w="0" w:type="auto"/>
          </w:tcPr>
          <w:p w14:paraId="17CBC08F" w14:textId="77777777" w:rsidR="001809D2" w:rsidRPr="00814236" w:rsidRDefault="001809D2" w:rsidP="00A907D5">
            <w:pPr>
              <w:pStyle w:val="NoSpacing"/>
              <w:rPr>
                <w:color w:val="000000" w:themeColor="text1"/>
              </w:rPr>
            </w:pPr>
            <w:r w:rsidRPr="00814236">
              <w:rPr>
                <w:color w:val="000000" w:themeColor="text1"/>
              </w:rPr>
              <w:t>+18.73%</w:t>
            </w:r>
          </w:p>
        </w:tc>
        <w:tc>
          <w:tcPr>
            <w:tcW w:w="0" w:type="auto"/>
          </w:tcPr>
          <w:p w14:paraId="7EA6E2FF" w14:textId="77777777" w:rsidR="001809D2" w:rsidRPr="00814236" w:rsidRDefault="001809D2" w:rsidP="00A907D5">
            <w:pPr>
              <w:pStyle w:val="NoSpacing"/>
            </w:pPr>
            <w:r w:rsidRPr="00814236">
              <w:t>199.20</w:t>
            </w:r>
          </w:p>
        </w:tc>
        <w:tc>
          <w:tcPr>
            <w:tcW w:w="1097" w:type="dxa"/>
          </w:tcPr>
          <w:p w14:paraId="635F418D" w14:textId="77777777" w:rsidR="001809D2" w:rsidRPr="00814236" w:rsidRDefault="001809D2" w:rsidP="00A907D5">
            <w:pPr>
              <w:pStyle w:val="NoSpacing"/>
            </w:pPr>
            <w:r w:rsidRPr="00814236">
              <w:t>88.10</w:t>
            </w:r>
          </w:p>
        </w:tc>
        <w:tc>
          <w:tcPr>
            <w:tcW w:w="1268" w:type="dxa"/>
          </w:tcPr>
          <w:p w14:paraId="5862B43C" w14:textId="77777777" w:rsidR="001809D2" w:rsidRPr="00814236" w:rsidRDefault="001809D2" w:rsidP="00A907D5">
            <w:pPr>
              <w:pStyle w:val="NoSpacing"/>
            </w:pPr>
            <w:r w:rsidRPr="00814236">
              <w:t>181.67</w:t>
            </w:r>
          </w:p>
        </w:tc>
      </w:tr>
      <w:tr w:rsidR="001809D2" w:rsidRPr="00814236" w14:paraId="3010673E" w14:textId="77777777" w:rsidTr="00640C27">
        <w:trPr>
          <w:jc w:val="center"/>
        </w:trPr>
        <w:tc>
          <w:tcPr>
            <w:tcW w:w="0" w:type="auto"/>
          </w:tcPr>
          <w:p w14:paraId="40DD4853" w14:textId="77777777" w:rsidR="001809D2" w:rsidRPr="00814236" w:rsidRDefault="001809D2" w:rsidP="00A907D5">
            <w:pPr>
              <w:pStyle w:val="NoSpacing"/>
            </w:pPr>
            <w:r w:rsidRPr="00814236">
              <w:t>July</w:t>
            </w:r>
          </w:p>
        </w:tc>
        <w:tc>
          <w:tcPr>
            <w:tcW w:w="0" w:type="auto"/>
          </w:tcPr>
          <w:p w14:paraId="042C8028" w14:textId="77777777" w:rsidR="001809D2" w:rsidRPr="00814236" w:rsidRDefault="001809D2" w:rsidP="00A907D5">
            <w:pPr>
              <w:pStyle w:val="NoSpacing"/>
            </w:pPr>
            <w:r w:rsidRPr="00814236">
              <w:t>96.84</w:t>
            </w:r>
          </w:p>
        </w:tc>
        <w:tc>
          <w:tcPr>
            <w:tcW w:w="0" w:type="auto"/>
          </w:tcPr>
          <w:p w14:paraId="3A3D3681" w14:textId="77777777" w:rsidR="001809D2" w:rsidRPr="00814236" w:rsidRDefault="001809D2" w:rsidP="00A907D5">
            <w:pPr>
              <w:pStyle w:val="NoSpacing"/>
            </w:pPr>
            <w:r w:rsidRPr="00814236">
              <w:t>122.10</w:t>
            </w:r>
          </w:p>
        </w:tc>
        <w:tc>
          <w:tcPr>
            <w:tcW w:w="0" w:type="auto"/>
          </w:tcPr>
          <w:p w14:paraId="5960C0A3" w14:textId="77777777" w:rsidR="001809D2" w:rsidRPr="00814236" w:rsidRDefault="001809D2" w:rsidP="00A907D5">
            <w:pPr>
              <w:pStyle w:val="NoSpacing"/>
              <w:rPr>
                <w:color w:val="000000" w:themeColor="text1"/>
              </w:rPr>
            </w:pPr>
            <w:r w:rsidRPr="00814236">
              <w:rPr>
                <w:color w:val="000000" w:themeColor="text1"/>
              </w:rPr>
              <w:t>+26.08%</w:t>
            </w:r>
          </w:p>
        </w:tc>
        <w:tc>
          <w:tcPr>
            <w:tcW w:w="0" w:type="auto"/>
          </w:tcPr>
          <w:p w14:paraId="6FCB1BE2" w14:textId="77777777" w:rsidR="001809D2" w:rsidRPr="00814236" w:rsidRDefault="001809D2" w:rsidP="00A907D5">
            <w:pPr>
              <w:pStyle w:val="NoSpacing"/>
            </w:pPr>
            <w:r w:rsidRPr="00814236">
              <w:t>229.00</w:t>
            </w:r>
          </w:p>
        </w:tc>
        <w:tc>
          <w:tcPr>
            <w:tcW w:w="1097" w:type="dxa"/>
          </w:tcPr>
          <w:p w14:paraId="5DF991CE" w14:textId="77777777" w:rsidR="001809D2" w:rsidRPr="00814236" w:rsidRDefault="001809D2" w:rsidP="00A907D5">
            <w:pPr>
              <w:pStyle w:val="NoSpacing"/>
            </w:pPr>
            <w:r w:rsidRPr="00814236">
              <w:t>106.90</w:t>
            </w:r>
          </w:p>
        </w:tc>
        <w:tc>
          <w:tcPr>
            <w:tcW w:w="1268" w:type="dxa"/>
          </w:tcPr>
          <w:p w14:paraId="4A5B6A78" w14:textId="77777777" w:rsidR="001809D2" w:rsidRPr="00814236" w:rsidRDefault="001809D2" w:rsidP="00A907D5">
            <w:pPr>
              <w:pStyle w:val="NoSpacing"/>
            </w:pPr>
            <w:r w:rsidRPr="00814236">
              <w:t>203.74</w:t>
            </w:r>
          </w:p>
        </w:tc>
      </w:tr>
      <w:tr w:rsidR="001809D2" w:rsidRPr="00814236" w14:paraId="390F0293" w14:textId="77777777" w:rsidTr="00640C27">
        <w:trPr>
          <w:jc w:val="center"/>
        </w:trPr>
        <w:tc>
          <w:tcPr>
            <w:tcW w:w="0" w:type="auto"/>
          </w:tcPr>
          <w:p w14:paraId="005593B6" w14:textId="77777777" w:rsidR="001809D2" w:rsidRPr="00814236" w:rsidRDefault="001809D2" w:rsidP="00A907D5">
            <w:pPr>
              <w:pStyle w:val="NoSpacing"/>
            </w:pPr>
            <w:r w:rsidRPr="00814236">
              <w:t>August</w:t>
            </w:r>
          </w:p>
        </w:tc>
        <w:tc>
          <w:tcPr>
            <w:tcW w:w="0" w:type="auto"/>
          </w:tcPr>
          <w:p w14:paraId="6E106CF4" w14:textId="77777777" w:rsidR="001809D2" w:rsidRPr="00814236" w:rsidRDefault="001809D2" w:rsidP="00A907D5">
            <w:pPr>
              <w:pStyle w:val="NoSpacing"/>
            </w:pPr>
            <w:r w:rsidRPr="00814236">
              <w:t>96.82</w:t>
            </w:r>
          </w:p>
        </w:tc>
        <w:tc>
          <w:tcPr>
            <w:tcW w:w="0" w:type="auto"/>
          </w:tcPr>
          <w:p w14:paraId="0730C38F" w14:textId="77777777" w:rsidR="001809D2" w:rsidRPr="00814236" w:rsidRDefault="001809D2" w:rsidP="00A907D5">
            <w:pPr>
              <w:pStyle w:val="NoSpacing"/>
            </w:pPr>
            <w:r w:rsidRPr="00814236">
              <w:t>109.00</w:t>
            </w:r>
          </w:p>
        </w:tc>
        <w:tc>
          <w:tcPr>
            <w:tcW w:w="0" w:type="auto"/>
          </w:tcPr>
          <w:p w14:paraId="74CAEAA3" w14:textId="77777777" w:rsidR="001809D2" w:rsidRPr="00814236" w:rsidRDefault="001809D2" w:rsidP="00A907D5">
            <w:pPr>
              <w:pStyle w:val="NoSpacing"/>
              <w:rPr>
                <w:color w:val="000000" w:themeColor="text1"/>
              </w:rPr>
            </w:pPr>
            <w:r w:rsidRPr="00814236">
              <w:rPr>
                <w:color w:val="000000" w:themeColor="text1"/>
              </w:rPr>
              <w:t>+12.58%</w:t>
            </w:r>
          </w:p>
        </w:tc>
        <w:tc>
          <w:tcPr>
            <w:tcW w:w="0" w:type="auto"/>
          </w:tcPr>
          <w:p w14:paraId="27985711" w14:textId="77777777" w:rsidR="001809D2" w:rsidRPr="00814236" w:rsidRDefault="001809D2" w:rsidP="00A907D5">
            <w:pPr>
              <w:pStyle w:val="NoSpacing"/>
            </w:pPr>
            <w:r w:rsidRPr="00814236">
              <w:t>202.20</w:t>
            </w:r>
          </w:p>
        </w:tc>
        <w:tc>
          <w:tcPr>
            <w:tcW w:w="1097" w:type="dxa"/>
          </w:tcPr>
          <w:p w14:paraId="1A50F7BA" w14:textId="77777777" w:rsidR="001809D2" w:rsidRPr="00814236" w:rsidRDefault="001809D2" w:rsidP="00A907D5">
            <w:pPr>
              <w:pStyle w:val="NoSpacing"/>
            </w:pPr>
            <w:r w:rsidRPr="00814236">
              <w:t>93.20</w:t>
            </w:r>
          </w:p>
        </w:tc>
        <w:tc>
          <w:tcPr>
            <w:tcW w:w="1268" w:type="dxa"/>
          </w:tcPr>
          <w:p w14:paraId="2F3C582A" w14:textId="77777777" w:rsidR="001809D2" w:rsidRPr="00814236" w:rsidRDefault="001809D2" w:rsidP="00A907D5">
            <w:pPr>
              <w:pStyle w:val="NoSpacing"/>
            </w:pPr>
            <w:r w:rsidRPr="00814236">
              <w:t>190.02</w:t>
            </w:r>
          </w:p>
        </w:tc>
      </w:tr>
      <w:tr w:rsidR="001809D2" w:rsidRPr="00814236" w14:paraId="7DF053BC" w14:textId="77777777" w:rsidTr="00640C27">
        <w:trPr>
          <w:jc w:val="center"/>
        </w:trPr>
        <w:tc>
          <w:tcPr>
            <w:tcW w:w="0" w:type="auto"/>
          </w:tcPr>
          <w:p w14:paraId="0FE2878A" w14:textId="77777777" w:rsidR="001809D2" w:rsidRPr="00814236" w:rsidRDefault="001809D2" w:rsidP="00A907D5">
            <w:pPr>
              <w:pStyle w:val="NoSpacing"/>
            </w:pPr>
            <w:r w:rsidRPr="00814236">
              <w:t>September</w:t>
            </w:r>
          </w:p>
        </w:tc>
        <w:tc>
          <w:tcPr>
            <w:tcW w:w="0" w:type="auto"/>
          </w:tcPr>
          <w:p w14:paraId="00766D36" w14:textId="77777777" w:rsidR="001809D2" w:rsidRPr="00814236" w:rsidRDefault="001809D2" w:rsidP="00A907D5">
            <w:pPr>
              <w:pStyle w:val="NoSpacing"/>
            </w:pPr>
            <w:r w:rsidRPr="00814236">
              <w:t>93.57</w:t>
            </w:r>
          </w:p>
        </w:tc>
        <w:tc>
          <w:tcPr>
            <w:tcW w:w="0" w:type="auto"/>
          </w:tcPr>
          <w:p w14:paraId="5A486D4F" w14:textId="77777777" w:rsidR="001809D2" w:rsidRPr="00814236" w:rsidRDefault="001809D2" w:rsidP="00A907D5">
            <w:pPr>
              <w:pStyle w:val="NoSpacing"/>
            </w:pPr>
            <w:r w:rsidRPr="00814236">
              <w:t>111.70</w:t>
            </w:r>
          </w:p>
        </w:tc>
        <w:tc>
          <w:tcPr>
            <w:tcW w:w="0" w:type="auto"/>
          </w:tcPr>
          <w:p w14:paraId="27964E7D" w14:textId="77777777" w:rsidR="001809D2" w:rsidRPr="00814236" w:rsidRDefault="001809D2" w:rsidP="00A907D5">
            <w:pPr>
              <w:pStyle w:val="NoSpacing"/>
              <w:rPr>
                <w:color w:val="000000" w:themeColor="text1"/>
              </w:rPr>
            </w:pPr>
            <w:r w:rsidRPr="00814236">
              <w:rPr>
                <w:color w:val="000000" w:themeColor="text1"/>
              </w:rPr>
              <w:t>+19.38%</w:t>
            </w:r>
          </w:p>
        </w:tc>
        <w:tc>
          <w:tcPr>
            <w:tcW w:w="0" w:type="auto"/>
          </w:tcPr>
          <w:p w14:paraId="4C4DC7BC" w14:textId="77777777" w:rsidR="001809D2" w:rsidRPr="00814236" w:rsidRDefault="001809D2" w:rsidP="00A907D5">
            <w:pPr>
              <w:pStyle w:val="NoSpacing"/>
            </w:pPr>
            <w:r w:rsidRPr="00814236">
              <w:t>205.30</w:t>
            </w:r>
          </w:p>
        </w:tc>
        <w:tc>
          <w:tcPr>
            <w:tcW w:w="1097" w:type="dxa"/>
          </w:tcPr>
          <w:p w14:paraId="5EF44539" w14:textId="77777777" w:rsidR="001809D2" w:rsidRPr="00814236" w:rsidRDefault="001809D2" w:rsidP="00A907D5">
            <w:pPr>
              <w:pStyle w:val="NoSpacing"/>
            </w:pPr>
            <w:r w:rsidRPr="00814236">
              <w:t>93.60</w:t>
            </w:r>
          </w:p>
        </w:tc>
        <w:tc>
          <w:tcPr>
            <w:tcW w:w="1268" w:type="dxa"/>
          </w:tcPr>
          <w:p w14:paraId="5C1071F3" w14:textId="77777777" w:rsidR="001809D2" w:rsidRPr="00814236" w:rsidRDefault="001809D2" w:rsidP="00A907D5">
            <w:pPr>
              <w:pStyle w:val="NoSpacing"/>
            </w:pPr>
            <w:r w:rsidRPr="00814236">
              <w:t>187.17</w:t>
            </w:r>
          </w:p>
        </w:tc>
      </w:tr>
      <w:tr w:rsidR="001809D2" w:rsidRPr="00814236" w14:paraId="68621726" w14:textId="77777777" w:rsidTr="00640C27">
        <w:trPr>
          <w:jc w:val="center"/>
        </w:trPr>
        <w:tc>
          <w:tcPr>
            <w:tcW w:w="0" w:type="auto"/>
          </w:tcPr>
          <w:p w14:paraId="07C9590C" w14:textId="77777777" w:rsidR="001809D2" w:rsidRPr="00814236" w:rsidRDefault="001809D2" w:rsidP="00A907D5">
            <w:pPr>
              <w:pStyle w:val="NoSpacing"/>
            </w:pPr>
            <w:r w:rsidRPr="00814236">
              <w:t>October</w:t>
            </w:r>
          </w:p>
        </w:tc>
        <w:tc>
          <w:tcPr>
            <w:tcW w:w="0" w:type="auto"/>
          </w:tcPr>
          <w:p w14:paraId="5269DDAD" w14:textId="77777777" w:rsidR="001809D2" w:rsidRPr="00814236" w:rsidRDefault="001809D2" w:rsidP="00A907D5">
            <w:pPr>
              <w:pStyle w:val="NoSpacing"/>
            </w:pPr>
            <w:r w:rsidRPr="00814236">
              <w:t>96.84</w:t>
            </w:r>
          </w:p>
        </w:tc>
        <w:tc>
          <w:tcPr>
            <w:tcW w:w="0" w:type="auto"/>
          </w:tcPr>
          <w:p w14:paraId="426A1827" w14:textId="77777777" w:rsidR="001809D2" w:rsidRPr="00814236" w:rsidRDefault="001809D2" w:rsidP="00A907D5">
            <w:pPr>
              <w:pStyle w:val="NoSpacing"/>
            </w:pPr>
            <w:r w:rsidRPr="00814236">
              <w:t>109.90</w:t>
            </w:r>
          </w:p>
        </w:tc>
        <w:tc>
          <w:tcPr>
            <w:tcW w:w="0" w:type="auto"/>
          </w:tcPr>
          <w:p w14:paraId="7B2D75FE" w14:textId="77777777" w:rsidR="001809D2" w:rsidRPr="00814236" w:rsidRDefault="001809D2" w:rsidP="00A907D5">
            <w:pPr>
              <w:pStyle w:val="NoSpacing"/>
              <w:rPr>
                <w:color w:val="000000" w:themeColor="text1"/>
              </w:rPr>
            </w:pPr>
            <w:r w:rsidRPr="00814236">
              <w:rPr>
                <w:color w:val="000000" w:themeColor="text1"/>
              </w:rPr>
              <w:t>+13.49%</w:t>
            </w:r>
          </w:p>
        </w:tc>
        <w:tc>
          <w:tcPr>
            <w:tcW w:w="0" w:type="auto"/>
          </w:tcPr>
          <w:p w14:paraId="1A148BB5" w14:textId="77777777" w:rsidR="001809D2" w:rsidRPr="00814236" w:rsidRDefault="001809D2" w:rsidP="00A907D5">
            <w:pPr>
              <w:pStyle w:val="NoSpacing"/>
            </w:pPr>
            <w:r w:rsidRPr="00814236">
              <w:t>203.50</w:t>
            </w:r>
          </w:p>
        </w:tc>
        <w:tc>
          <w:tcPr>
            <w:tcW w:w="1097" w:type="dxa"/>
          </w:tcPr>
          <w:p w14:paraId="2140711A" w14:textId="77777777" w:rsidR="001809D2" w:rsidRPr="00814236" w:rsidRDefault="001809D2" w:rsidP="00A907D5">
            <w:pPr>
              <w:pStyle w:val="NoSpacing"/>
            </w:pPr>
            <w:r w:rsidRPr="00814236">
              <w:t>93.60</w:t>
            </w:r>
          </w:p>
        </w:tc>
        <w:tc>
          <w:tcPr>
            <w:tcW w:w="1268" w:type="dxa"/>
          </w:tcPr>
          <w:p w14:paraId="403FBDD3" w14:textId="77777777" w:rsidR="001809D2" w:rsidRPr="00814236" w:rsidRDefault="001809D2" w:rsidP="00A907D5">
            <w:pPr>
              <w:pStyle w:val="NoSpacing"/>
            </w:pPr>
            <w:r w:rsidRPr="00814236">
              <w:t>190.44</w:t>
            </w:r>
          </w:p>
        </w:tc>
      </w:tr>
      <w:tr w:rsidR="001809D2" w:rsidRPr="00814236" w14:paraId="24BE4491" w14:textId="77777777" w:rsidTr="00640C27">
        <w:trPr>
          <w:jc w:val="center"/>
        </w:trPr>
        <w:tc>
          <w:tcPr>
            <w:tcW w:w="0" w:type="auto"/>
          </w:tcPr>
          <w:p w14:paraId="161F024C" w14:textId="77777777" w:rsidR="001809D2" w:rsidRPr="00814236" w:rsidRDefault="001809D2" w:rsidP="00A907D5">
            <w:pPr>
              <w:pStyle w:val="NoSpacing"/>
            </w:pPr>
            <w:r w:rsidRPr="00814236">
              <w:t>November</w:t>
            </w:r>
          </w:p>
        </w:tc>
        <w:tc>
          <w:tcPr>
            <w:tcW w:w="0" w:type="auto"/>
          </w:tcPr>
          <w:p w14:paraId="3EA7C9E4" w14:textId="77777777" w:rsidR="001809D2" w:rsidRPr="00814236" w:rsidRDefault="001809D2" w:rsidP="00A907D5">
            <w:pPr>
              <w:pStyle w:val="NoSpacing"/>
            </w:pPr>
            <w:r w:rsidRPr="00814236">
              <w:t>93.57</w:t>
            </w:r>
          </w:p>
        </w:tc>
        <w:tc>
          <w:tcPr>
            <w:tcW w:w="0" w:type="auto"/>
          </w:tcPr>
          <w:p w14:paraId="45F91714" w14:textId="77777777" w:rsidR="001809D2" w:rsidRPr="00814236" w:rsidRDefault="001809D2" w:rsidP="00A907D5">
            <w:pPr>
              <w:pStyle w:val="NoSpacing"/>
            </w:pPr>
            <w:r w:rsidRPr="00814236">
              <w:t>85.94</w:t>
            </w:r>
          </w:p>
        </w:tc>
        <w:tc>
          <w:tcPr>
            <w:tcW w:w="0" w:type="auto"/>
          </w:tcPr>
          <w:p w14:paraId="7FF73FA4" w14:textId="77777777" w:rsidR="001809D2" w:rsidRPr="00814236" w:rsidRDefault="001809D2" w:rsidP="00A907D5">
            <w:pPr>
              <w:pStyle w:val="NoSpacing"/>
              <w:rPr>
                <w:color w:val="000000" w:themeColor="text1"/>
              </w:rPr>
            </w:pPr>
            <w:r w:rsidRPr="00814236">
              <w:rPr>
                <w:color w:val="000000" w:themeColor="text1"/>
              </w:rPr>
              <w:t>-8.15%</w:t>
            </w:r>
          </w:p>
        </w:tc>
        <w:tc>
          <w:tcPr>
            <w:tcW w:w="0" w:type="auto"/>
          </w:tcPr>
          <w:p w14:paraId="4B516D90" w14:textId="77777777" w:rsidR="001809D2" w:rsidRPr="00814236" w:rsidRDefault="001809D2" w:rsidP="00A907D5">
            <w:pPr>
              <w:pStyle w:val="NoSpacing"/>
            </w:pPr>
            <w:r w:rsidRPr="00814236">
              <w:t>155.50</w:t>
            </w:r>
          </w:p>
        </w:tc>
        <w:tc>
          <w:tcPr>
            <w:tcW w:w="1097" w:type="dxa"/>
          </w:tcPr>
          <w:p w14:paraId="0DE5183D" w14:textId="77777777" w:rsidR="001809D2" w:rsidRPr="00814236" w:rsidRDefault="001809D2" w:rsidP="00A907D5">
            <w:pPr>
              <w:pStyle w:val="NoSpacing"/>
            </w:pPr>
            <w:r w:rsidRPr="00814236">
              <w:t>69.56</w:t>
            </w:r>
          </w:p>
        </w:tc>
        <w:tc>
          <w:tcPr>
            <w:tcW w:w="1268" w:type="dxa"/>
          </w:tcPr>
          <w:p w14:paraId="28DF975B" w14:textId="77777777" w:rsidR="001809D2" w:rsidRPr="00814236" w:rsidRDefault="001809D2" w:rsidP="00A907D5">
            <w:pPr>
              <w:pStyle w:val="NoSpacing"/>
            </w:pPr>
            <w:r w:rsidRPr="00814236">
              <w:t>163.13</w:t>
            </w:r>
          </w:p>
        </w:tc>
      </w:tr>
      <w:tr w:rsidR="001809D2" w:rsidRPr="00814236" w14:paraId="7F40843B" w14:textId="77777777" w:rsidTr="00640C27">
        <w:trPr>
          <w:jc w:val="center"/>
        </w:trPr>
        <w:tc>
          <w:tcPr>
            <w:tcW w:w="0" w:type="auto"/>
            <w:tcBorders>
              <w:bottom w:val="single" w:sz="4" w:space="0" w:color="auto"/>
            </w:tcBorders>
          </w:tcPr>
          <w:p w14:paraId="32594598" w14:textId="77777777" w:rsidR="001809D2" w:rsidRPr="00814236" w:rsidRDefault="001809D2" w:rsidP="00A907D5">
            <w:pPr>
              <w:pStyle w:val="NoSpacing"/>
            </w:pPr>
            <w:r w:rsidRPr="00814236">
              <w:t>December</w:t>
            </w:r>
          </w:p>
        </w:tc>
        <w:tc>
          <w:tcPr>
            <w:tcW w:w="0" w:type="auto"/>
            <w:tcBorders>
              <w:bottom w:val="single" w:sz="4" w:space="0" w:color="auto"/>
            </w:tcBorders>
          </w:tcPr>
          <w:p w14:paraId="25CFA6AC" w14:textId="77777777" w:rsidR="001809D2" w:rsidRPr="00814236" w:rsidRDefault="001809D2" w:rsidP="00A907D5">
            <w:pPr>
              <w:pStyle w:val="NoSpacing"/>
            </w:pPr>
            <w:r w:rsidRPr="00814236">
              <w:t>96.82</w:t>
            </w:r>
          </w:p>
        </w:tc>
        <w:tc>
          <w:tcPr>
            <w:tcW w:w="0" w:type="auto"/>
            <w:tcBorders>
              <w:bottom w:val="single" w:sz="4" w:space="0" w:color="auto"/>
            </w:tcBorders>
          </w:tcPr>
          <w:p w14:paraId="2A39CEC8" w14:textId="77777777" w:rsidR="001809D2" w:rsidRPr="00814236" w:rsidRDefault="001809D2" w:rsidP="00A907D5">
            <w:pPr>
              <w:pStyle w:val="NoSpacing"/>
            </w:pPr>
            <w:r w:rsidRPr="00814236">
              <w:t>94.85</w:t>
            </w:r>
          </w:p>
        </w:tc>
        <w:tc>
          <w:tcPr>
            <w:tcW w:w="0" w:type="auto"/>
            <w:tcBorders>
              <w:bottom w:val="single" w:sz="4" w:space="0" w:color="auto"/>
            </w:tcBorders>
          </w:tcPr>
          <w:p w14:paraId="06BE8E46" w14:textId="77777777" w:rsidR="001809D2" w:rsidRPr="00814236" w:rsidRDefault="001809D2" w:rsidP="00A907D5">
            <w:pPr>
              <w:pStyle w:val="NoSpacing"/>
              <w:rPr>
                <w:color w:val="000000" w:themeColor="text1"/>
              </w:rPr>
            </w:pPr>
            <w:r w:rsidRPr="00814236">
              <w:rPr>
                <w:color w:val="000000" w:themeColor="text1"/>
              </w:rPr>
              <w:t>-2.03%</w:t>
            </w:r>
          </w:p>
        </w:tc>
        <w:tc>
          <w:tcPr>
            <w:tcW w:w="0" w:type="auto"/>
            <w:tcBorders>
              <w:bottom w:val="single" w:sz="4" w:space="0" w:color="auto"/>
            </w:tcBorders>
          </w:tcPr>
          <w:p w14:paraId="5764CF12" w14:textId="77777777" w:rsidR="001809D2" w:rsidRPr="00814236" w:rsidRDefault="001809D2" w:rsidP="00A907D5">
            <w:pPr>
              <w:pStyle w:val="NoSpacing"/>
            </w:pPr>
            <w:r w:rsidRPr="00814236">
              <w:t>165.90</w:t>
            </w:r>
          </w:p>
        </w:tc>
        <w:tc>
          <w:tcPr>
            <w:tcW w:w="1097" w:type="dxa"/>
            <w:tcBorders>
              <w:bottom w:val="single" w:sz="4" w:space="0" w:color="auto"/>
            </w:tcBorders>
          </w:tcPr>
          <w:p w14:paraId="5168D5DB" w14:textId="77777777" w:rsidR="001809D2" w:rsidRPr="00814236" w:rsidRDefault="001809D2" w:rsidP="00A907D5">
            <w:pPr>
              <w:pStyle w:val="NoSpacing"/>
            </w:pPr>
            <w:r w:rsidRPr="00814236">
              <w:t>71.05</w:t>
            </w:r>
          </w:p>
        </w:tc>
        <w:tc>
          <w:tcPr>
            <w:tcW w:w="1268" w:type="dxa"/>
            <w:tcBorders>
              <w:bottom w:val="single" w:sz="4" w:space="0" w:color="auto"/>
            </w:tcBorders>
          </w:tcPr>
          <w:p w14:paraId="3DE1171D" w14:textId="77777777" w:rsidR="001809D2" w:rsidRPr="00814236" w:rsidRDefault="001809D2" w:rsidP="00A907D5">
            <w:pPr>
              <w:pStyle w:val="NoSpacing"/>
            </w:pPr>
            <w:r w:rsidRPr="00814236">
              <w:t>167.87</w:t>
            </w:r>
          </w:p>
        </w:tc>
      </w:tr>
      <w:tr w:rsidR="001809D2" w:rsidRPr="00814236" w14:paraId="17072A78" w14:textId="77777777" w:rsidTr="00A907D5">
        <w:trPr>
          <w:trHeight w:val="403"/>
          <w:jc w:val="center"/>
        </w:trPr>
        <w:tc>
          <w:tcPr>
            <w:tcW w:w="0" w:type="auto"/>
            <w:tcBorders>
              <w:top w:val="single" w:sz="4" w:space="0" w:color="auto"/>
              <w:bottom w:val="single" w:sz="4" w:space="0" w:color="auto"/>
            </w:tcBorders>
          </w:tcPr>
          <w:p w14:paraId="691DBD53" w14:textId="77777777" w:rsidR="001809D2" w:rsidRPr="00814236" w:rsidRDefault="001809D2" w:rsidP="00A907D5">
            <w:pPr>
              <w:spacing w:line="240" w:lineRule="auto"/>
              <w:rPr>
                <w:rFonts w:cs="Times New Roman"/>
                <w:b/>
                <w:sz w:val="22"/>
              </w:rPr>
            </w:pPr>
            <w:r w:rsidRPr="00814236">
              <w:rPr>
                <w:rFonts w:cs="Times New Roman"/>
                <w:b/>
                <w:sz w:val="22"/>
              </w:rPr>
              <w:t xml:space="preserve">Total </w:t>
            </w:r>
          </w:p>
        </w:tc>
        <w:tc>
          <w:tcPr>
            <w:tcW w:w="0" w:type="auto"/>
            <w:tcBorders>
              <w:top w:val="single" w:sz="4" w:space="0" w:color="auto"/>
              <w:bottom w:val="single" w:sz="4" w:space="0" w:color="auto"/>
            </w:tcBorders>
          </w:tcPr>
          <w:p w14:paraId="34F4F697" w14:textId="77777777" w:rsidR="001809D2" w:rsidRPr="00814236" w:rsidRDefault="001809D2" w:rsidP="00A907D5">
            <w:pPr>
              <w:spacing w:line="240" w:lineRule="auto"/>
              <w:rPr>
                <w:rFonts w:cs="Times New Roman"/>
                <w:b/>
                <w:sz w:val="22"/>
              </w:rPr>
            </w:pPr>
            <w:r w:rsidRPr="00814236">
              <w:rPr>
                <w:rFonts w:cs="Times New Roman"/>
                <w:b/>
                <w:sz w:val="22"/>
              </w:rPr>
              <w:t>1138.59</w:t>
            </w:r>
          </w:p>
        </w:tc>
        <w:tc>
          <w:tcPr>
            <w:tcW w:w="0" w:type="auto"/>
            <w:tcBorders>
              <w:top w:val="single" w:sz="4" w:space="0" w:color="auto"/>
              <w:bottom w:val="single" w:sz="4" w:space="0" w:color="auto"/>
            </w:tcBorders>
          </w:tcPr>
          <w:p w14:paraId="34A4C5BD" w14:textId="77777777" w:rsidR="001809D2" w:rsidRPr="00814236" w:rsidRDefault="001809D2" w:rsidP="00A907D5">
            <w:pPr>
              <w:spacing w:line="240" w:lineRule="auto"/>
              <w:rPr>
                <w:rFonts w:cs="Times New Roman"/>
                <w:b/>
                <w:sz w:val="22"/>
              </w:rPr>
            </w:pPr>
            <w:r w:rsidRPr="00814236">
              <w:rPr>
                <w:rFonts w:cs="Times New Roman"/>
                <w:b/>
                <w:sz w:val="22"/>
              </w:rPr>
              <w:t>1288.21</w:t>
            </w:r>
          </w:p>
        </w:tc>
        <w:tc>
          <w:tcPr>
            <w:tcW w:w="0" w:type="auto"/>
            <w:tcBorders>
              <w:top w:val="single" w:sz="4" w:space="0" w:color="auto"/>
              <w:bottom w:val="single" w:sz="4" w:space="0" w:color="auto"/>
            </w:tcBorders>
          </w:tcPr>
          <w:p w14:paraId="3042B70E" w14:textId="77777777" w:rsidR="001809D2" w:rsidRPr="00814236" w:rsidRDefault="001809D2" w:rsidP="00A907D5">
            <w:pPr>
              <w:keepNext/>
              <w:spacing w:line="240" w:lineRule="auto"/>
              <w:rPr>
                <w:rFonts w:cs="Times New Roman"/>
                <w:b/>
                <w:color w:val="000000" w:themeColor="text1"/>
                <w:sz w:val="22"/>
              </w:rPr>
            </w:pPr>
            <w:r w:rsidRPr="00814236">
              <w:rPr>
                <w:rFonts w:cs="Times New Roman"/>
                <w:b/>
                <w:color w:val="000000" w:themeColor="text1"/>
                <w:sz w:val="22"/>
              </w:rPr>
              <w:t>+13.14%</w:t>
            </w:r>
          </w:p>
        </w:tc>
        <w:tc>
          <w:tcPr>
            <w:tcW w:w="0" w:type="auto"/>
            <w:tcBorders>
              <w:top w:val="single" w:sz="4" w:space="0" w:color="auto"/>
              <w:bottom w:val="single" w:sz="4" w:space="0" w:color="auto"/>
            </w:tcBorders>
          </w:tcPr>
          <w:p w14:paraId="0A75744C" w14:textId="77777777" w:rsidR="001809D2" w:rsidRPr="00814236" w:rsidRDefault="001809D2" w:rsidP="00A907D5">
            <w:pPr>
              <w:keepNext/>
              <w:spacing w:line="240" w:lineRule="auto"/>
              <w:rPr>
                <w:rFonts w:cs="Times New Roman"/>
                <w:b/>
                <w:sz w:val="22"/>
              </w:rPr>
            </w:pPr>
            <w:r w:rsidRPr="00814236">
              <w:rPr>
                <w:rFonts w:cs="Times New Roman"/>
                <w:b/>
                <w:sz w:val="22"/>
              </w:rPr>
              <w:t>2350.70</w:t>
            </w:r>
          </w:p>
        </w:tc>
        <w:tc>
          <w:tcPr>
            <w:tcW w:w="1097" w:type="dxa"/>
            <w:tcBorders>
              <w:top w:val="single" w:sz="4" w:space="0" w:color="auto"/>
              <w:bottom w:val="single" w:sz="4" w:space="0" w:color="auto"/>
            </w:tcBorders>
          </w:tcPr>
          <w:p w14:paraId="56FB43C7" w14:textId="77777777" w:rsidR="001809D2" w:rsidRPr="00814236" w:rsidRDefault="001809D2" w:rsidP="00A907D5">
            <w:pPr>
              <w:keepNext/>
              <w:spacing w:line="240" w:lineRule="auto"/>
              <w:rPr>
                <w:rFonts w:cs="Times New Roman"/>
                <w:b/>
                <w:sz w:val="22"/>
              </w:rPr>
            </w:pPr>
            <w:r w:rsidRPr="00814236">
              <w:rPr>
                <w:rFonts w:cs="Times New Roman"/>
                <w:b/>
                <w:sz w:val="22"/>
              </w:rPr>
              <w:t>1062.49</w:t>
            </w:r>
          </w:p>
        </w:tc>
        <w:tc>
          <w:tcPr>
            <w:tcW w:w="1268" w:type="dxa"/>
            <w:tcBorders>
              <w:top w:val="single" w:sz="4" w:space="0" w:color="auto"/>
              <w:bottom w:val="single" w:sz="4" w:space="0" w:color="auto"/>
            </w:tcBorders>
          </w:tcPr>
          <w:p w14:paraId="0063FDAB" w14:textId="77777777" w:rsidR="001809D2" w:rsidRPr="00814236" w:rsidRDefault="001809D2" w:rsidP="00A907D5">
            <w:pPr>
              <w:keepNext/>
              <w:spacing w:line="240" w:lineRule="auto"/>
              <w:rPr>
                <w:rFonts w:cs="Times New Roman"/>
                <w:b/>
                <w:sz w:val="22"/>
              </w:rPr>
            </w:pPr>
            <w:r w:rsidRPr="00814236">
              <w:rPr>
                <w:rFonts w:cs="Times New Roman"/>
                <w:b/>
                <w:sz w:val="22"/>
              </w:rPr>
              <w:t>2201.08</w:t>
            </w:r>
          </w:p>
        </w:tc>
      </w:tr>
    </w:tbl>
    <w:p w14:paraId="49B6A766" w14:textId="1B6653D8" w:rsidR="00E93826" w:rsidRPr="00A907D5" w:rsidRDefault="003C4BAB" w:rsidP="003C4BAB">
      <w:pPr>
        <w:pStyle w:val="Caption"/>
        <w:rPr>
          <w:rFonts w:cs="Times New Roman"/>
          <w:sz w:val="20"/>
          <w:szCs w:val="20"/>
        </w:rPr>
      </w:pPr>
      <w:bookmarkStart w:id="26" w:name="_Toc7168695"/>
      <w:r>
        <w:t xml:space="preserve">Table </w:t>
      </w:r>
      <w:fldSimple w:instr=" SEQ Table \* ARABIC ">
        <w:r>
          <w:rPr>
            <w:noProof/>
          </w:rPr>
          <w:t>1</w:t>
        </w:r>
      </w:fldSimple>
      <w:r w:rsidRPr="00A907D5">
        <w:rPr>
          <w:rFonts w:cs="Times New Roman"/>
          <w:sz w:val="20"/>
          <w:szCs w:val="20"/>
        </w:rPr>
        <w:t>. Overview of results for the year 2017.</w:t>
      </w:r>
      <w:bookmarkEnd w:id="26"/>
    </w:p>
    <w:p w14:paraId="42218C60" w14:textId="33090C69" w:rsidR="00430912" w:rsidRPr="00814236" w:rsidRDefault="00E93826" w:rsidP="00141F1C">
      <w:r w:rsidRPr="00814236">
        <w:lastRenderedPageBreak/>
        <w:t>Column A</w:t>
      </w:r>
      <w:r w:rsidR="00BA071D" w:rsidRPr="00814236">
        <w:t xml:space="preserve"> </w:t>
      </w:r>
      <w:r w:rsidR="00283F5A" w:rsidRPr="00814236">
        <w:t>shows the cost of energy in case the flexibility offered by the system is not sold.</w:t>
      </w:r>
      <w:r w:rsidRPr="00814236">
        <w:t xml:space="preserve"> </w:t>
      </w:r>
      <w:r w:rsidR="00283F5A" w:rsidRPr="00814236">
        <w:t>Differences in cost across the different mo</w:t>
      </w:r>
      <w:r w:rsidR="003363AA">
        <w:t>n</w:t>
      </w:r>
      <w:r w:rsidR="00283F5A" w:rsidRPr="00814236">
        <w:t xml:space="preserve">ths are </w:t>
      </w:r>
      <w:r w:rsidR="00BA071D" w:rsidRPr="00814236">
        <w:t xml:space="preserve">only </w:t>
      </w:r>
      <w:r w:rsidR="00283F5A" w:rsidRPr="00814236">
        <w:t xml:space="preserve">due to </w:t>
      </w:r>
      <w:r w:rsidRPr="00814236">
        <w:t>the</w:t>
      </w:r>
      <w:r w:rsidR="00283F5A" w:rsidRPr="00814236">
        <w:t xml:space="preserve"> different</w:t>
      </w:r>
      <w:r w:rsidRPr="00814236">
        <w:t xml:space="preserve"> number of days in the respective month</w:t>
      </w:r>
      <w:r w:rsidR="00283F5A" w:rsidRPr="00814236">
        <w:t>s</w:t>
      </w:r>
      <w:r w:rsidRPr="00814236">
        <w:t xml:space="preserve">. This is </w:t>
      </w:r>
      <w:r w:rsidR="00283F5A" w:rsidRPr="00814236">
        <w:t>because of</w:t>
      </w:r>
      <w:r w:rsidRPr="00814236">
        <w:t xml:space="preserve"> the fixed consumption pattern that we assumed. Column B</w:t>
      </w:r>
      <w:r w:rsidR="00BA071D" w:rsidRPr="00814236">
        <w:t xml:space="preserve"> (</w:t>
      </w:r>
      <w:r w:rsidR="00BA071D" w:rsidRPr="00814236">
        <w:rPr>
          <w:rFonts w:cs="Times New Roman"/>
          <w:sz w:val="22"/>
        </w:rPr>
        <w:t>Cost energy with flex</w:t>
      </w:r>
      <w:r w:rsidR="00BA071D" w:rsidRPr="00814236">
        <w:t>)</w:t>
      </w:r>
      <w:r w:rsidR="003363AA">
        <w:t>,</w:t>
      </w:r>
      <w:r w:rsidRPr="00814236">
        <w:t xml:space="preserve"> however</w:t>
      </w:r>
      <w:r w:rsidR="003363AA">
        <w:t>,</w:t>
      </w:r>
      <w:r w:rsidRPr="00814236">
        <w:t xml:space="preserve"> </w:t>
      </w:r>
      <w:r w:rsidR="003363AA">
        <w:t xml:space="preserve">is </w:t>
      </w:r>
      <w:r w:rsidRPr="00814236">
        <w:t xml:space="preserve">not only dependent on the amount of days in the respective month but </w:t>
      </w:r>
      <w:r w:rsidR="00283F5A" w:rsidRPr="00814236">
        <w:t xml:space="preserve">also </w:t>
      </w:r>
      <w:r w:rsidRPr="00814236">
        <w:t>on the choices the controller made with respect to the state of the net.</w:t>
      </w:r>
      <w:r w:rsidR="00C32CA7" w:rsidRPr="00814236">
        <w:t xml:space="preserve"> </w:t>
      </w:r>
      <w:r w:rsidR="003363AA">
        <w:t xml:space="preserve">Where </w:t>
      </w:r>
      <w:r w:rsidR="00283F5A" w:rsidRPr="00814236">
        <w:t>f</w:t>
      </w:r>
      <w:r w:rsidR="00C32CA7" w:rsidRPr="00814236">
        <w:t>unction</w:t>
      </w:r>
      <w:r w:rsidR="003363AA">
        <w:t>ing</w:t>
      </w:r>
      <w:r w:rsidR="00C32CA7" w:rsidRPr="00814236">
        <w:t xml:space="preserve"> of the net </w:t>
      </w:r>
      <w:r w:rsidR="003363AA">
        <w:t xml:space="preserve">is </w:t>
      </w:r>
      <w:r w:rsidR="00C32CA7" w:rsidRPr="00814236">
        <w:t>long (too much energy) or short (to little energy)</w:t>
      </w:r>
      <w:r w:rsidR="00283F5A" w:rsidRPr="00814236">
        <w:t>,</w:t>
      </w:r>
      <w:r w:rsidR="00C32CA7" w:rsidRPr="00814236">
        <w:t xml:space="preserve"> this value will change as the controller will change the setpoint of the boiler if profitable from </w:t>
      </w:r>
      <w:r w:rsidR="00F151A3" w:rsidRPr="00814236">
        <w:t>a</w:t>
      </w:r>
      <w:r w:rsidR="00C32CA7" w:rsidRPr="00814236">
        <w:t xml:space="preserve"> flexibility selling point of view. </w:t>
      </w:r>
      <w:r w:rsidRPr="00814236">
        <w:t>Column C</w:t>
      </w:r>
      <w:r w:rsidR="00C32CA7" w:rsidRPr="00814236">
        <w:t xml:space="preserve"> </w:t>
      </w:r>
      <w:r w:rsidR="00F151A3" w:rsidRPr="00814236">
        <w:t>explicates</w:t>
      </w:r>
      <w:r w:rsidRPr="00814236">
        <w:t xml:space="preserve"> the increase or decrease in energy cost</w:t>
      </w:r>
      <w:r w:rsidR="00430912" w:rsidRPr="00814236">
        <w:t xml:space="preserve"> between the system that delivers flexibility and the</w:t>
      </w:r>
      <w:r w:rsidR="009E2893" w:rsidRPr="00814236">
        <w:t xml:space="preserve"> one</w:t>
      </w:r>
      <w:r w:rsidR="00430912" w:rsidRPr="00814236">
        <w:t xml:space="preserve"> that is not participating in balancing the net.</w:t>
      </w:r>
      <w:r w:rsidR="00C32CA7" w:rsidRPr="00814236">
        <w:t xml:space="preserve"> The increase (or decrease) of energy cost will be a driver in the optimisation </w:t>
      </w:r>
      <w:r w:rsidR="003363AA">
        <w:t xml:space="preserve">carried out </w:t>
      </w:r>
      <w:r w:rsidR="00C32CA7" w:rsidRPr="00814236">
        <w:t xml:space="preserve">by the controller to make the choice to change setpoint. If the cost of the energy is higher than the </w:t>
      </w:r>
      <w:r w:rsidR="00283F5A" w:rsidRPr="00814236">
        <w:t xml:space="preserve">value </w:t>
      </w:r>
      <w:r w:rsidR="00C32CA7" w:rsidRPr="00814236">
        <w:t>of the flexibility, then the controller will not adapt the setpoint and it will not participate in net balancing.</w:t>
      </w:r>
      <w:r w:rsidR="00141F1C" w:rsidRPr="00814236">
        <w:t xml:space="preserve"> </w:t>
      </w:r>
    </w:p>
    <w:p w14:paraId="03F5DEDA" w14:textId="22F39B31" w:rsidR="00EA5CD2" w:rsidRPr="00814236" w:rsidRDefault="00283F5A" w:rsidP="00141F1C">
      <w:r w:rsidRPr="00814236">
        <w:t xml:space="preserve">Note that in general, </w:t>
      </w:r>
      <w:r w:rsidR="00874FEE" w:rsidRPr="00814236">
        <w:t xml:space="preserve">the energy use of </w:t>
      </w:r>
      <w:r w:rsidRPr="00814236">
        <w:t>residential buildings equipped with an electric boiler</w:t>
      </w:r>
      <w:r w:rsidR="00874FEE" w:rsidRPr="00814236">
        <w:t xml:space="preserve"> is steered by</w:t>
      </w:r>
      <w:r w:rsidR="00EA5CD2" w:rsidRPr="00814236">
        <w:t xml:space="preserve"> a standard on/off controller. </w:t>
      </w:r>
      <w:r w:rsidR="00093E5A">
        <w:t xml:space="preserve">While </w:t>
      </w:r>
      <w:r w:rsidR="00874FEE" w:rsidRPr="00814236">
        <w:t>in the case of advanced control, the temperature needs to be maintained at 60</w:t>
      </w:r>
      <w:r w:rsidR="003363AA">
        <w:rPr>
          <w:rFonts w:cs="Times New Roman"/>
        </w:rPr>
        <w:t>℃</w:t>
      </w:r>
      <w:r w:rsidR="00874FEE" w:rsidRPr="00814236">
        <w:t xml:space="preserve">, a standard on/off controller aims for an </w:t>
      </w:r>
      <w:r w:rsidR="00874FEE" w:rsidRPr="00A907D5">
        <w:rPr>
          <w:i/>
        </w:rPr>
        <w:t>average</w:t>
      </w:r>
      <w:r w:rsidR="00874FEE" w:rsidRPr="00814236">
        <w:t xml:space="preserve"> temperature of 60</w:t>
      </w:r>
      <w:r w:rsidR="003363AA">
        <w:rPr>
          <w:rFonts w:cs="Times New Roman"/>
        </w:rPr>
        <w:t>℃</w:t>
      </w:r>
      <w:r w:rsidR="00874FEE" w:rsidRPr="00814236">
        <w:t xml:space="preserve"> and the controller controls the electrical heater with a </w:t>
      </w:r>
      <w:r w:rsidR="00F151A3" w:rsidRPr="00814236">
        <w:t>dead band</w:t>
      </w:r>
      <w:r w:rsidR="00874FEE" w:rsidRPr="00814236">
        <w:t xml:space="preserve"> of 5</w:t>
      </w:r>
      <w:r w:rsidR="003363AA">
        <w:rPr>
          <w:rFonts w:cs="Times New Roman"/>
        </w:rPr>
        <w:t>℃</w:t>
      </w:r>
      <w:r w:rsidR="00874FEE" w:rsidRPr="00814236">
        <w:t xml:space="preserve">. </w:t>
      </w:r>
      <w:r w:rsidR="00EA5CD2" w:rsidRPr="00814236">
        <w:t xml:space="preserve">The results of these simulations are not </w:t>
      </w:r>
      <w:r w:rsidR="003363AA">
        <w:t xml:space="preserve">included in </w:t>
      </w:r>
      <w:r w:rsidR="00EA5CD2" w:rsidRPr="00814236">
        <w:fldChar w:fldCharType="begin"/>
      </w:r>
      <w:r w:rsidR="00EA5CD2" w:rsidRPr="00814236">
        <w:instrText xml:space="preserve"> REF _Ref4967345 \h </w:instrText>
      </w:r>
      <w:r w:rsidR="00141F1C" w:rsidRPr="00814236">
        <w:instrText xml:space="preserve"> \* MERGEFORMAT </w:instrText>
      </w:r>
      <w:r w:rsidR="00EA5CD2" w:rsidRPr="00814236">
        <w:fldChar w:fldCharType="separate"/>
      </w:r>
      <w:r w:rsidR="00EA5CD2" w:rsidRPr="00814236">
        <w:t xml:space="preserve">Table </w:t>
      </w:r>
      <w:r w:rsidR="00EA5CD2" w:rsidRPr="00814236">
        <w:rPr>
          <w:noProof/>
        </w:rPr>
        <w:t>1</w:t>
      </w:r>
      <w:r w:rsidR="00EA5CD2" w:rsidRPr="00814236">
        <w:fldChar w:fldCharType="end"/>
      </w:r>
      <w:r w:rsidR="00EA5CD2" w:rsidRPr="00814236">
        <w:t xml:space="preserve">, and are only mentioned here to create a baseline with respect to standard practice </w:t>
      </w:r>
      <w:r w:rsidR="00FD58E4" w:rsidRPr="00814236">
        <w:t xml:space="preserve">in a domestic building </w:t>
      </w:r>
      <w:r w:rsidR="00EA5CD2" w:rsidRPr="00814236">
        <w:t>today. The simulation shows that the expected energy cost</w:t>
      </w:r>
      <w:r w:rsidR="00A87059" w:rsidRPr="00814236">
        <w:t xml:space="preserve"> for an on/off controlled boiler</w:t>
      </w:r>
      <w:r w:rsidR="00EA5CD2" w:rsidRPr="00814236">
        <w:t xml:space="preserve"> is </w:t>
      </w:r>
      <w:r w:rsidR="00874FEE" w:rsidRPr="00814236">
        <w:t>516</w:t>
      </w:r>
      <w:r w:rsidR="00EA5CD2" w:rsidRPr="00814236">
        <w:t xml:space="preserve"> euros</w:t>
      </w:r>
      <w:r w:rsidR="00A87059" w:rsidRPr="00814236">
        <w:t xml:space="preserve"> per year</w:t>
      </w:r>
      <w:r w:rsidR="00EA5CD2" w:rsidRPr="00814236">
        <w:t>. The lowest temperature measured was 54.8</w:t>
      </w:r>
      <w:r w:rsidR="00EA0954">
        <w:rPr>
          <w:rFonts w:cs="Times New Roman"/>
        </w:rPr>
        <w:t>℃</w:t>
      </w:r>
      <w:r w:rsidR="00EA5CD2" w:rsidRPr="00814236">
        <w:t xml:space="preserve"> and the highest was 62.4</w:t>
      </w:r>
      <w:r w:rsidR="00EA0954">
        <w:rPr>
          <w:rFonts w:cs="Times New Roman"/>
        </w:rPr>
        <w:t>℃</w:t>
      </w:r>
      <w:r w:rsidR="00EA5CD2" w:rsidRPr="00814236">
        <w:t xml:space="preserve">. For the simulation </w:t>
      </w:r>
      <w:r w:rsidR="00874FEE" w:rsidRPr="00814236">
        <w:t xml:space="preserve">of advanced control, </w:t>
      </w:r>
      <w:r w:rsidR="00EA5CD2" w:rsidRPr="00814236">
        <w:t>the choice was made to control the temperature as strict</w:t>
      </w:r>
      <w:r w:rsidR="00EA0954">
        <w:t>ly</w:t>
      </w:r>
      <w:r w:rsidR="00EA5CD2" w:rsidRPr="00814236">
        <w:t xml:space="preserve"> as possible to simulate the </w:t>
      </w:r>
      <w:r w:rsidR="00F151A3" w:rsidRPr="00814236">
        <w:t>worst-case</w:t>
      </w:r>
      <w:r w:rsidR="00EA5CD2" w:rsidRPr="00814236">
        <w:t xml:space="preserve"> </w:t>
      </w:r>
      <w:r w:rsidR="00EA5CD2" w:rsidRPr="00814236">
        <w:lastRenderedPageBreak/>
        <w:t xml:space="preserve">scenario with respect to the energy usage </w:t>
      </w:r>
      <w:r w:rsidR="00EA0954">
        <w:t xml:space="preserve">in order </w:t>
      </w:r>
      <w:r w:rsidR="00EA5CD2" w:rsidRPr="00814236">
        <w:t xml:space="preserve">to </w:t>
      </w:r>
      <w:r w:rsidR="00F151A3" w:rsidRPr="00814236">
        <w:t>stabil</w:t>
      </w:r>
      <w:r w:rsidR="00E927FA" w:rsidRPr="00814236">
        <w:t>is</w:t>
      </w:r>
      <w:r w:rsidR="00F151A3" w:rsidRPr="00814236">
        <w:t>e</w:t>
      </w:r>
      <w:r w:rsidR="00EA5CD2" w:rsidRPr="00814236">
        <w:t xml:space="preserve"> </w:t>
      </w:r>
      <w:r w:rsidR="00874FEE" w:rsidRPr="00814236">
        <w:t xml:space="preserve">the </w:t>
      </w:r>
      <w:r w:rsidR="00EA5CD2" w:rsidRPr="00814236">
        <w:t>temperature (keep</w:t>
      </w:r>
      <w:r w:rsidR="00EA0954">
        <w:t>ing</w:t>
      </w:r>
      <w:r w:rsidR="00EA5CD2" w:rsidRPr="00814236">
        <w:t xml:space="preserve"> it as close to its setpoint at all times).</w:t>
      </w:r>
      <w:r w:rsidR="00A87059" w:rsidRPr="00814236">
        <w:t xml:space="preserve"> However</w:t>
      </w:r>
      <w:r w:rsidR="00EA0954">
        <w:t>,</w:t>
      </w:r>
      <w:r w:rsidR="00A87059" w:rsidRPr="00814236">
        <w:t xml:space="preserve"> it would be feasible to </w:t>
      </w:r>
      <w:r w:rsidR="00F151A3" w:rsidRPr="00814236">
        <w:t>make the EMPC controller less strict and</w:t>
      </w:r>
      <w:r w:rsidR="00EA0954">
        <w:t>,</w:t>
      </w:r>
      <w:r w:rsidR="00F151A3" w:rsidRPr="00814236">
        <w:t xml:space="preserve"> as such</w:t>
      </w:r>
      <w:r w:rsidR="00EA0954">
        <w:t>,</w:t>
      </w:r>
      <w:r w:rsidR="00F151A3" w:rsidRPr="00814236">
        <w:t xml:space="preserve"> lower the energy consumption. The optim</w:t>
      </w:r>
      <w:r w:rsidR="00E927FA" w:rsidRPr="00814236">
        <w:t>is</w:t>
      </w:r>
      <w:r w:rsidR="00F151A3" w:rsidRPr="00814236">
        <w:t xml:space="preserve">ation of the controller was not in scope of this research. </w:t>
      </w:r>
    </w:p>
    <w:p w14:paraId="5B1DB18E" w14:textId="241C7DCA" w:rsidR="00F77581" w:rsidRPr="00814236" w:rsidRDefault="00430912" w:rsidP="00141F1C">
      <w:pPr>
        <w:rPr>
          <w:rFonts w:cs="Times New Roman"/>
        </w:rPr>
      </w:pPr>
      <w:r w:rsidRPr="00814236">
        <w:t>Column D</w:t>
      </w:r>
      <w:r w:rsidR="001F73F4" w:rsidRPr="00814236">
        <w:t xml:space="preserve"> </w:t>
      </w:r>
      <w:r w:rsidRPr="00814236">
        <w:t xml:space="preserve">shows the revenue from </w:t>
      </w:r>
      <w:r w:rsidR="004B7E0C" w:rsidRPr="00814236">
        <w:t>the action (</w:t>
      </w:r>
      <w:r w:rsidRPr="00814236">
        <w:t>V</w:t>
      </w:r>
      <w:r w:rsidR="001F73F4" w:rsidRPr="00814236">
        <w:t>, value of the action,</w:t>
      </w:r>
      <w:r w:rsidRPr="00814236">
        <w:t xml:space="preserve"> in equation </w:t>
      </w:r>
      <w:r w:rsidR="004B7E0C" w:rsidRPr="00814236">
        <w:t>(5))</w:t>
      </w:r>
      <w:r w:rsidRPr="00814236">
        <w:t>.</w:t>
      </w:r>
      <w:r w:rsidR="004B7E0C" w:rsidRPr="00814236">
        <w:t xml:space="preserve"> This revenue </w:t>
      </w:r>
      <w:r w:rsidR="00874FEE" w:rsidRPr="00814236">
        <w:t>depends</w:t>
      </w:r>
      <w:r w:rsidR="004B7E0C" w:rsidRPr="00814236">
        <w:t xml:space="preserve"> on the state of the net and the variable pricing that is paid for delivering balanc</w:t>
      </w:r>
      <w:r w:rsidR="00EA0954">
        <w:t>ed</w:t>
      </w:r>
      <w:r w:rsidR="004B7E0C" w:rsidRPr="00814236">
        <w:t xml:space="preserve"> energy. </w:t>
      </w:r>
      <w:r w:rsidR="00421F39" w:rsidRPr="00814236">
        <w:t xml:space="preserve">This value is </w:t>
      </w:r>
      <w:r w:rsidR="00EA0954">
        <w:t xml:space="preserve">generally </w:t>
      </w:r>
      <w:r w:rsidR="00421F39" w:rsidRPr="00814236">
        <w:t xml:space="preserve">published </w:t>
      </w:r>
      <w:r w:rsidR="00EA0954">
        <w:t xml:space="preserve">in </w:t>
      </w:r>
      <w:r w:rsidR="00421F39" w:rsidRPr="00814236">
        <w:rPr>
          <w:rFonts w:cs="Times New Roman"/>
        </w:rPr>
        <w:t>quart</w:t>
      </w:r>
      <w:r w:rsidR="001F73F4" w:rsidRPr="00814236">
        <w:rPr>
          <w:rFonts w:cs="Times New Roman"/>
        </w:rPr>
        <w:t>-</w:t>
      </w:r>
      <w:r w:rsidR="00421F39" w:rsidRPr="00814236">
        <w:rPr>
          <w:rFonts w:cs="Times New Roman"/>
        </w:rPr>
        <w:t>hourly</w:t>
      </w:r>
      <w:r w:rsidR="00EA0954">
        <w:rPr>
          <w:rFonts w:cs="Times New Roman"/>
        </w:rPr>
        <w:t xml:space="preserve"> terms</w:t>
      </w:r>
      <w:r w:rsidR="00F77581" w:rsidRPr="00814236">
        <w:rPr>
          <w:rFonts w:cs="Times New Roman"/>
        </w:rPr>
        <w:t>.</w:t>
      </w:r>
      <w:r w:rsidR="00421F39" w:rsidRPr="00814236">
        <w:rPr>
          <w:rFonts w:cs="Times New Roman"/>
        </w:rPr>
        <w:t xml:space="preserve"> </w:t>
      </w:r>
      <w:r w:rsidR="00F77581" w:rsidRPr="00814236">
        <w:rPr>
          <w:rFonts w:cs="Times New Roman"/>
        </w:rPr>
        <w:t>Here</w:t>
      </w:r>
      <w:r w:rsidR="00EA0954">
        <w:rPr>
          <w:rFonts w:cs="Times New Roman"/>
        </w:rPr>
        <w:t>,</w:t>
      </w:r>
      <w:r w:rsidR="00F77581" w:rsidRPr="00814236">
        <w:rPr>
          <w:rFonts w:cs="Times New Roman"/>
        </w:rPr>
        <w:t xml:space="preserve"> the </w:t>
      </w:r>
      <w:r w:rsidR="00421F39" w:rsidRPr="00814236">
        <w:rPr>
          <w:rFonts w:cs="Times New Roman"/>
        </w:rPr>
        <w:t>published values from</w:t>
      </w:r>
      <w:r w:rsidR="00141F1C" w:rsidRPr="00814236">
        <w:rPr>
          <w:rFonts w:cs="Times New Roman"/>
        </w:rPr>
        <w:t xml:space="preserve"> </w:t>
      </w:r>
      <w:r w:rsidR="00421F39" w:rsidRPr="00814236">
        <w:rPr>
          <w:rFonts w:cs="Times New Roman"/>
        </w:rPr>
        <w:t>2017, made available by ELIA, the TSO for Belgium</w:t>
      </w:r>
      <w:r w:rsidR="00093E5A">
        <w:rPr>
          <w:rFonts w:cs="Times New Roman"/>
        </w:rPr>
        <w:t>,</w:t>
      </w:r>
      <w:r w:rsidR="00A907D5">
        <w:rPr>
          <w:rFonts w:cs="Times New Roman"/>
        </w:rPr>
        <w:t xml:space="preserve"> </w:t>
      </w:r>
      <w:r w:rsidR="00F77581" w:rsidRPr="00814236">
        <w:rPr>
          <w:rFonts w:cs="Times New Roman"/>
        </w:rPr>
        <w:t>are used</w:t>
      </w:r>
      <w:r w:rsidR="00093E5A">
        <w:rPr>
          <w:rFonts w:cs="Times New Roman"/>
        </w:rPr>
        <w:t xml:space="preserve"> </w:t>
      </w:r>
      <w:r w:rsidR="00093E5A" w:rsidRPr="00093E5A">
        <w:rPr>
          <w:rFonts w:cs="Times New Roman"/>
        </w:rPr>
        <w:t>(ELIA, n.d., Data Download)</w:t>
      </w:r>
      <w:r w:rsidR="00421F39" w:rsidRPr="00814236">
        <w:rPr>
          <w:rFonts w:cs="Times New Roman"/>
        </w:rPr>
        <w:t>.</w:t>
      </w:r>
      <w:r w:rsidR="003F333C" w:rsidRPr="00814236">
        <w:rPr>
          <w:rFonts w:cs="Times New Roman"/>
        </w:rPr>
        <w:t xml:space="preserve"> For 2017</w:t>
      </w:r>
      <w:r w:rsidR="00EA0954">
        <w:rPr>
          <w:rFonts w:cs="Times New Roman"/>
        </w:rPr>
        <w:t>,</w:t>
      </w:r>
      <w:r w:rsidR="003F333C" w:rsidRPr="00814236">
        <w:rPr>
          <w:rFonts w:cs="Times New Roman"/>
        </w:rPr>
        <w:t xml:space="preserve"> the distribution of the positive imbalance pricing is depicted </w:t>
      </w:r>
      <w:r w:rsidR="00EA0954">
        <w:rPr>
          <w:rFonts w:cs="Times New Roman"/>
        </w:rPr>
        <w:t>i</w:t>
      </w:r>
      <w:r w:rsidR="003F333C" w:rsidRPr="00814236">
        <w:rPr>
          <w:rFonts w:cs="Times New Roman"/>
        </w:rPr>
        <w:t xml:space="preserve">n </w:t>
      </w:r>
      <w:r w:rsidR="003F333C" w:rsidRPr="00814236">
        <w:rPr>
          <w:rFonts w:cs="Times New Roman"/>
        </w:rPr>
        <w:fldChar w:fldCharType="begin"/>
      </w:r>
      <w:r w:rsidR="003F333C" w:rsidRPr="00814236">
        <w:rPr>
          <w:rFonts w:cs="Times New Roman"/>
        </w:rPr>
        <w:instrText xml:space="preserve"> REF _Ref916387 \h </w:instrText>
      </w:r>
      <w:r w:rsidR="00141F1C" w:rsidRPr="00814236">
        <w:rPr>
          <w:rFonts w:cs="Times New Roman"/>
        </w:rPr>
        <w:instrText xml:space="preserve"> \* MERGEFORMAT </w:instrText>
      </w:r>
      <w:r w:rsidR="003F333C" w:rsidRPr="00814236">
        <w:rPr>
          <w:rFonts w:cs="Times New Roman"/>
        </w:rPr>
      </w:r>
      <w:r w:rsidR="003F333C" w:rsidRPr="00814236">
        <w:rPr>
          <w:rFonts w:cs="Times New Roman"/>
        </w:rPr>
        <w:fldChar w:fldCharType="separate"/>
      </w:r>
      <w:r w:rsidR="003F333C" w:rsidRPr="00814236">
        <w:t xml:space="preserve">Figure </w:t>
      </w:r>
      <w:r w:rsidR="003F333C" w:rsidRPr="00814236">
        <w:rPr>
          <w:noProof/>
        </w:rPr>
        <w:t>2</w:t>
      </w:r>
      <w:r w:rsidR="003F333C" w:rsidRPr="00814236">
        <w:rPr>
          <w:rFonts w:cs="Times New Roman"/>
        </w:rPr>
        <w:fldChar w:fldCharType="end"/>
      </w:r>
      <w:r w:rsidR="00EA0954">
        <w:rPr>
          <w:rFonts w:cs="Times New Roman"/>
        </w:rPr>
        <w:t>, while t</w:t>
      </w:r>
      <w:r w:rsidR="003F333C" w:rsidRPr="00814236">
        <w:rPr>
          <w:rFonts w:cs="Times New Roman"/>
        </w:rPr>
        <w:t xml:space="preserve">he negative imbalance pricing can be seen </w:t>
      </w:r>
      <w:r w:rsidR="00EA0954">
        <w:rPr>
          <w:rFonts w:cs="Times New Roman"/>
        </w:rPr>
        <w:t>i</w:t>
      </w:r>
      <w:r w:rsidR="003F333C" w:rsidRPr="00814236">
        <w:rPr>
          <w:rFonts w:cs="Times New Roman"/>
        </w:rPr>
        <w:t xml:space="preserve">n </w:t>
      </w:r>
      <w:r w:rsidR="003F333C" w:rsidRPr="00814236">
        <w:rPr>
          <w:rFonts w:cs="Times New Roman"/>
        </w:rPr>
        <w:fldChar w:fldCharType="begin"/>
      </w:r>
      <w:r w:rsidR="003F333C" w:rsidRPr="00814236">
        <w:rPr>
          <w:rFonts w:cs="Times New Roman"/>
        </w:rPr>
        <w:instrText xml:space="preserve"> REF _Ref916389 \h </w:instrText>
      </w:r>
      <w:r w:rsidR="00141F1C" w:rsidRPr="00814236">
        <w:rPr>
          <w:rFonts w:cs="Times New Roman"/>
        </w:rPr>
        <w:instrText xml:space="preserve"> \* MERGEFORMAT </w:instrText>
      </w:r>
      <w:r w:rsidR="003F333C" w:rsidRPr="00814236">
        <w:rPr>
          <w:rFonts w:cs="Times New Roman"/>
        </w:rPr>
      </w:r>
      <w:r w:rsidR="003F333C" w:rsidRPr="00814236">
        <w:rPr>
          <w:rFonts w:cs="Times New Roman"/>
        </w:rPr>
        <w:fldChar w:fldCharType="separate"/>
      </w:r>
      <w:r w:rsidR="003F333C" w:rsidRPr="00814236">
        <w:t xml:space="preserve">Figure </w:t>
      </w:r>
      <w:r w:rsidR="003F333C" w:rsidRPr="00814236">
        <w:rPr>
          <w:noProof/>
        </w:rPr>
        <w:t>3</w:t>
      </w:r>
      <w:r w:rsidR="003F333C" w:rsidRPr="00814236">
        <w:rPr>
          <w:rFonts w:cs="Times New Roman"/>
        </w:rPr>
        <w:fldChar w:fldCharType="end"/>
      </w:r>
      <w:r w:rsidR="003F333C" w:rsidRPr="00814236">
        <w:rPr>
          <w:rFonts w:cs="Times New Roman"/>
        </w:rPr>
        <w:t xml:space="preserve">. Positive imbalance pricing is paid when a consumer is </w:t>
      </w:r>
      <w:r w:rsidR="00DA6097" w:rsidRPr="00814236">
        <w:rPr>
          <w:rFonts w:cs="Times New Roman"/>
        </w:rPr>
        <w:t xml:space="preserve">using more energy </w:t>
      </w:r>
      <w:r w:rsidR="00F151A3" w:rsidRPr="00814236">
        <w:rPr>
          <w:rFonts w:cs="Times New Roman"/>
        </w:rPr>
        <w:t>than</w:t>
      </w:r>
      <w:r w:rsidR="00DA6097" w:rsidRPr="00814236">
        <w:rPr>
          <w:rFonts w:cs="Times New Roman"/>
        </w:rPr>
        <w:t xml:space="preserve"> nominated and</w:t>
      </w:r>
      <w:r w:rsidR="00EA0954">
        <w:rPr>
          <w:rFonts w:cs="Times New Roman"/>
        </w:rPr>
        <w:t>,</w:t>
      </w:r>
      <w:r w:rsidR="00DA6097" w:rsidRPr="00814236">
        <w:rPr>
          <w:rFonts w:cs="Times New Roman"/>
        </w:rPr>
        <w:t xml:space="preserve"> as such</w:t>
      </w:r>
      <w:r w:rsidR="00EA0954">
        <w:rPr>
          <w:rFonts w:cs="Times New Roman"/>
        </w:rPr>
        <w:t>,</w:t>
      </w:r>
      <w:r w:rsidR="00DA6097" w:rsidRPr="00814236">
        <w:rPr>
          <w:rFonts w:cs="Times New Roman"/>
        </w:rPr>
        <w:t xml:space="preserve"> aids </w:t>
      </w:r>
      <w:r w:rsidR="00EA0954">
        <w:rPr>
          <w:rFonts w:cs="Times New Roman"/>
        </w:rPr>
        <w:t xml:space="preserve">to </w:t>
      </w:r>
      <w:r w:rsidR="00DA6097" w:rsidRPr="00814236">
        <w:rPr>
          <w:rFonts w:cs="Times New Roman"/>
        </w:rPr>
        <w:t>restor</w:t>
      </w:r>
      <w:r w:rsidR="00EA0954">
        <w:rPr>
          <w:rFonts w:cs="Times New Roman"/>
        </w:rPr>
        <w:t>e</w:t>
      </w:r>
      <w:r w:rsidR="00DA6097" w:rsidRPr="00814236">
        <w:rPr>
          <w:rFonts w:cs="Times New Roman"/>
        </w:rPr>
        <w:t xml:space="preserve"> balance. Negative imbalance pricing is paid when the net is short of energy and the consumer uses less energy </w:t>
      </w:r>
      <w:r w:rsidR="00F151A3" w:rsidRPr="00814236">
        <w:rPr>
          <w:rFonts w:cs="Times New Roman"/>
        </w:rPr>
        <w:t>than</w:t>
      </w:r>
      <w:r w:rsidR="00DA6097" w:rsidRPr="00814236">
        <w:rPr>
          <w:rFonts w:cs="Times New Roman"/>
        </w:rPr>
        <w:t xml:space="preserve"> nominated. As </w:t>
      </w:r>
      <w:r w:rsidR="00EA0954">
        <w:rPr>
          <w:rFonts w:cs="Times New Roman"/>
        </w:rPr>
        <w:t>is clear from</w:t>
      </w:r>
      <w:r w:rsidR="00DA6097" w:rsidRPr="00814236">
        <w:rPr>
          <w:rFonts w:cs="Times New Roman"/>
        </w:rPr>
        <w:t xml:space="preserve"> </w:t>
      </w:r>
      <w:r w:rsidR="00EA0954">
        <w:rPr>
          <w:rFonts w:cs="Times New Roman"/>
        </w:rPr>
        <w:t xml:space="preserve">figures 2 </w:t>
      </w:r>
      <w:r w:rsidR="00DA6097" w:rsidRPr="00814236">
        <w:rPr>
          <w:rFonts w:cs="Times New Roman"/>
        </w:rPr>
        <w:t>and</w:t>
      </w:r>
      <w:r w:rsidR="00EA0954">
        <w:rPr>
          <w:rFonts w:cs="Times New Roman"/>
        </w:rPr>
        <w:t xml:space="preserve"> 3</w:t>
      </w:r>
      <w:r w:rsidR="00DA6097" w:rsidRPr="00814236">
        <w:rPr>
          <w:rFonts w:cs="Times New Roman"/>
        </w:rPr>
        <w:t xml:space="preserve">, pricing can be negative. </w:t>
      </w:r>
      <w:r w:rsidR="00575F85" w:rsidRPr="00814236">
        <w:rPr>
          <w:rFonts w:cs="Times New Roman"/>
        </w:rPr>
        <w:t xml:space="preserve">If a balance responsible party (BRP) was using more energy </w:t>
      </w:r>
      <w:r w:rsidR="00F151A3" w:rsidRPr="00814236">
        <w:rPr>
          <w:rFonts w:cs="Times New Roman"/>
        </w:rPr>
        <w:t>than</w:t>
      </w:r>
      <w:r w:rsidR="00575F85" w:rsidRPr="00814236">
        <w:rPr>
          <w:rFonts w:cs="Times New Roman"/>
        </w:rPr>
        <w:t xml:space="preserve"> nominated and the net was long, then </w:t>
      </w:r>
      <w:r w:rsidR="00EA0954">
        <w:rPr>
          <w:rFonts w:cs="Times New Roman"/>
        </w:rPr>
        <w:t xml:space="preserve">they are </w:t>
      </w:r>
      <w:r w:rsidR="00575F85" w:rsidRPr="00814236">
        <w:rPr>
          <w:rFonts w:cs="Times New Roman"/>
        </w:rPr>
        <w:t>compensated for ‘</w:t>
      </w:r>
      <w:r w:rsidR="00F151A3" w:rsidRPr="00814236">
        <w:rPr>
          <w:rFonts w:cs="Times New Roman"/>
        </w:rPr>
        <w:t>accidently’ helping</w:t>
      </w:r>
      <w:r w:rsidR="00575F85" w:rsidRPr="00814236">
        <w:rPr>
          <w:rFonts w:cs="Times New Roman"/>
        </w:rPr>
        <w:t xml:space="preserve"> in restoring the balance. If</w:t>
      </w:r>
      <w:r w:rsidR="00EA0954">
        <w:rPr>
          <w:rFonts w:cs="Times New Roman"/>
        </w:rPr>
        <w:t>,</w:t>
      </w:r>
      <w:r w:rsidR="00575F85" w:rsidRPr="00814236">
        <w:rPr>
          <w:rFonts w:cs="Times New Roman"/>
        </w:rPr>
        <w:t xml:space="preserve"> however</w:t>
      </w:r>
      <w:r w:rsidR="00EA0954">
        <w:rPr>
          <w:rFonts w:cs="Times New Roman"/>
        </w:rPr>
        <w:t>,</w:t>
      </w:r>
      <w:r w:rsidR="00575F85" w:rsidRPr="00814236">
        <w:rPr>
          <w:rFonts w:cs="Times New Roman"/>
        </w:rPr>
        <w:t xml:space="preserve"> the BRP was using less energy </w:t>
      </w:r>
      <w:r w:rsidR="00F151A3" w:rsidRPr="00814236">
        <w:rPr>
          <w:rFonts w:cs="Times New Roman"/>
        </w:rPr>
        <w:t>than</w:t>
      </w:r>
      <w:r w:rsidR="00575F85" w:rsidRPr="00814236">
        <w:rPr>
          <w:rFonts w:cs="Times New Roman"/>
        </w:rPr>
        <w:t xml:space="preserve"> nominated and the net was long, </w:t>
      </w:r>
      <w:r w:rsidR="00EA0954">
        <w:rPr>
          <w:rFonts w:cs="Times New Roman"/>
        </w:rPr>
        <w:t>t</w:t>
      </w:r>
      <w:r w:rsidR="00575F85" w:rsidRPr="00814236">
        <w:rPr>
          <w:rFonts w:cs="Times New Roman"/>
        </w:rPr>
        <w:t>he</w:t>
      </w:r>
      <w:r w:rsidR="00EA0954">
        <w:rPr>
          <w:rFonts w:cs="Times New Roman"/>
        </w:rPr>
        <w:t>y</w:t>
      </w:r>
      <w:r w:rsidR="00575F85" w:rsidRPr="00814236">
        <w:rPr>
          <w:rFonts w:cs="Times New Roman"/>
        </w:rPr>
        <w:t xml:space="preserve"> will need to pay the TSO a fine. In this research</w:t>
      </w:r>
      <w:r w:rsidR="00EA0954">
        <w:rPr>
          <w:rFonts w:cs="Times New Roman"/>
        </w:rPr>
        <w:t>,</w:t>
      </w:r>
      <w:r w:rsidR="00575F85" w:rsidRPr="00814236">
        <w:rPr>
          <w:rFonts w:cs="Times New Roman"/>
        </w:rPr>
        <w:t xml:space="preserve"> however</w:t>
      </w:r>
      <w:r w:rsidR="00EA0954">
        <w:rPr>
          <w:rFonts w:cs="Times New Roman"/>
        </w:rPr>
        <w:t>,</w:t>
      </w:r>
      <w:r w:rsidR="00575F85" w:rsidRPr="00814236">
        <w:rPr>
          <w:rFonts w:cs="Times New Roman"/>
        </w:rPr>
        <w:t xml:space="preserve"> we will never </w:t>
      </w:r>
      <w:r w:rsidR="00EA0954">
        <w:rPr>
          <w:rFonts w:cs="Times New Roman"/>
        </w:rPr>
        <w:t xml:space="preserve">encounter this </w:t>
      </w:r>
      <w:r w:rsidR="00575F85" w:rsidRPr="00814236">
        <w:rPr>
          <w:rFonts w:cs="Times New Roman"/>
        </w:rPr>
        <w:t xml:space="preserve">situation as we assume to be actively steered by the TSO </w:t>
      </w:r>
      <w:r w:rsidR="00EA0954">
        <w:rPr>
          <w:rFonts w:cs="Times New Roman"/>
        </w:rPr>
        <w:t xml:space="preserve">in terms of </w:t>
      </w:r>
      <w:r w:rsidR="00575F85" w:rsidRPr="00814236">
        <w:rPr>
          <w:rFonts w:cs="Times New Roman"/>
        </w:rPr>
        <w:t>adapt</w:t>
      </w:r>
      <w:r w:rsidR="00EA0954">
        <w:rPr>
          <w:rFonts w:cs="Times New Roman"/>
        </w:rPr>
        <w:t>ing</w:t>
      </w:r>
      <w:r w:rsidR="00575F85" w:rsidRPr="00814236">
        <w:rPr>
          <w:rFonts w:cs="Times New Roman"/>
        </w:rPr>
        <w:t xml:space="preserve"> the state as a function of the state of the net.</w:t>
      </w:r>
      <w:r w:rsidR="00141F1C" w:rsidRPr="00814236">
        <w:rPr>
          <w:rFonts w:cs="Times New Roman"/>
        </w:rPr>
        <w:t xml:space="preserve"> </w:t>
      </w:r>
    </w:p>
    <w:p w14:paraId="2972091A" w14:textId="23BF1583" w:rsidR="003F333C" w:rsidRPr="00814236" w:rsidRDefault="003F333C" w:rsidP="00A907D5">
      <w:pPr>
        <w:pStyle w:val="NoSpacing"/>
      </w:pPr>
      <w:r w:rsidRPr="00814236">
        <w:rPr>
          <w:noProof/>
        </w:rPr>
        <w:lastRenderedPageBreak/>
        <w:drawing>
          <wp:inline distT="0" distB="0" distL="0" distR="0" wp14:anchorId="6D931217" wp14:editId="086E46F6">
            <wp:extent cx="5200650" cy="2762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OS.png"/>
                    <pic:cNvPicPr/>
                  </pic:nvPicPr>
                  <pic:blipFill rotWithShape="1">
                    <a:blip r:embed="rId14">
                      <a:extLst>
                        <a:ext uri="{28A0092B-C50C-407E-A947-70E740481C1C}">
                          <a14:useLocalDpi xmlns:a14="http://schemas.microsoft.com/office/drawing/2010/main" val="0"/>
                        </a:ext>
                      </a:extLst>
                    </a:blip>
                    <a:srcRect l="4880" t="10274" r="8558" b="4273"/>
                    <a:stretch/>
                  </pic:blipFill>
                  <pic:spPr bwMode="auto">
                    <a:xfrm>
                      <a:off x="0" y="0"/>
                      <a:ext cx="5247113" cy="2786928"/>
                    </a:xfrm>
                    <a:prstGeom prst="rect">
                      <a:avLst/>
                    </a:prstGeom>
                    <a:ln>
                      <a:noFill/>
                    </a:ln>
                    <a:extLst>
                      <a:ext uri="{53640926-AAD7-44D8-BBD7-CCE9431645EC}">
                        <a14:shadowObscured xmlns:a14="http://schemas.microsoft.com/office/drawing/2010/main"/>
                      </a:ext>
                    </a:extLst>
                  </pic:spPr>
                </pic:pic>
              </a:graphicData>
            </a:graphic>
          </wp:inline>
        </w:drawing>
      </w:r>
    </w:p>
    <w:p w14:paraId="25DE3CAD" w14:textId="6D2754F1" w:rsidR="00430912" w:rsidRPr="00A907D5" w:rsidRDefault="003F333C" w:rsidP="00A907D5">
      <w:pPr>
        <w:pStyle w:val="Caption"/>
        <w:jc w:val="center"/>
        <w:rPr>
          <w:i/>
          <w:sz w:val="18"/>
        </w:rPr>
      </w:pPr>
      <w:bookmarkStart w:id="27" w:name="_Ref916387"/>
      <w:bookmarkStart w:id="28" w:name="_Toc7073635"/>
      <w:r w:rsidRPr="00A907D5">
        <w:rPr>
          <w:i/>
          <w:sz w:val="18"/>
        </w:rPr>
        <w:t xml:space="preserve">Figure </w:t>
      </w:r>
      <w:r w:rsidR="00283F5A" w:rsidRPr="00A907D5">
        <w:rPr>
          <w:i/>
          <w:noProof/>
          <w:sz w:val="18"/>
        </w:rPr>
        <w:fldChar w:fldCharType="begin"/>
      </w:r>
      <w:r w:rsidR="00283F5A" w:rsidRPr="00A907D5">
        <w:rPr>
          <w:i/>
          <w:noProof/>
          <w:sz w:val="18"/>
        </w:rPr>
        <w:instrText xml:space="preserve"> SEQ Figure \* ARABIC </w:instrText>
      </w:r>
      <w:r w:rsidR="00283F5A" w:rsidRPr="00A907D5">
        <w:rPr>
          <w:i/>
          <w:noProof/>
          <w:sz w:val="18"/>
        </w:rPr>
        <w:fldChar w:fldCharType="separate"/>
      </w:r>
      <w:r w:rsidR="00223050" w:rsidRPr="00A907D5">
        <w:rPr>
          <w:i/>
          <w:noProof/>
          <w:sz w:val="18"/>
        </w:rPr>
        <w:t>2</w:t>
      </w:r>
      <w:r w:rsidR="00283F5A" w:rsidRPr="00A907D5">
        <w:rPr>
          <w:i/>
          <w:noProof/>
          <w:sz w:val="18"/>
        </w:rPr>
        <w:fldChar w:fldCharType="end"/>
      </w:r>
      <w:bookmarkEnd w:id="27"/>
      <w:r w:rsidR="008C064D" w:rsidRPr="00A907D5">
        <w:rPr>
          <w:i/>
          <w:noProof/>
          <w:sz w:val="18"/>
        </w:rPr>
        <w:t>.</w:t>
      </w:r>
      <w:r w:rsidRPr="00A907D5">
        <w:rPr>
          <w:i/>
          <w:sz w:val="18"/>
        </w:rPr>
        <w:t xml:space="preserve"> POS unity price for 2017. The figure shows the distribution per month for the positive imbalance pricing</w:t>
      </w:r>
      <w:r w:rsidR="007C79F3" w:rsidRPr="00A907D5">
        <w:rPr>
          <w:i/>
          <w:sz w:val="18"/>
        </w:rPr>
        <w:t xml:space="preserve"> (generation surplus or consumption </w:t>
      </w:r>
      <w:r w:rsidR="003556A9" w:rsidRPr="00A907D5">
        <w:rPr>
          <w:i/>
          <w:sz w:val="18"/>
        </w:rPr>
        <w:t>shortage</w:t>
      </w:r>
      <w:r w:rsidR="007C79F3" w:rsidRPr="00A907D5">
        <w:rPr>
          <w:i/>
          <w:sz w:val="18"/>
        </w:rPr>
        <w:t>)</w:t>
      </w:r>
      <w:r w:rsidRPr="00A907D5">
        <w:rPr>
          <w:i/>
          <w:sz w:val="18"/>
        </w:rPr>
        <w:t>.</w:t>
      </w:r>
      <w:bookmarkEnd w:id="28"/>
    </w:p>
    <w:p w14:paraId="0B577F4D" w14:textId="77777777" w:rsidR="003F333C" w:rsidRPr="00814236" w:rsidRDefault="003F333C" w:rsidP="00A907D5">
      <w:pPr>
        <w:pStyle w:val="NoSpacing"/>
      </w:pPr>
      <w:r w:rsidRPr="00814236">
        <w:rPr>
          <w:noProof/>
        </w:rPr>
        <w:drawing>
          <wp:inline distT="0" distB="0" distL="0" distR="0" wp14:anchorId="5120FC5A" wp14:editId="27AF2E32">
            <wp:extent cx="5133975" cy="2886587"/>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EG.png"/>
                    <pic:cNvPicPr/>
                  </pic:nvPicPr>
                  <pic:blipFill rotWithShape="1">
                    <a:blip r:embed="rId15">
                      <a:extLst>
                        <a:ext uri="{28A0092B-C50C-407E-A947-70E740481C1C}">
                          <a14:useLocalDpi xmlns:a14="http://schemas.microsoft.com/office/drawing/2010/main" val="0"/>
                        </a:ext>
                      </a:extLst>
                    </a:blip>
                    <a:srcRect l="4866" t="9729" r="8672"/>
                    <a:stretch/>
                  </pic:blipFill>
                  <pic:spPr bwMode="auto">
                    <a:xfrm>
                      <a:off x="0" y="0"/>
                      <a:ext cx="5199605" cy="2923488"/>
                    </a:xfrm>
                    <a:prstGeom prst="rect">
                      <a:avLst/>
                    </a:prstGeom>
                    <a:ln>
                      <a:noFill/>
                    </a:ln>
                    <a:extLst>
                      <a:ext uri="{53640926-AAD7-44D8-BBD7-CCE9431645EC}">
                        <a14:shadowObscured xmlns:a14="http://schemas.microsoft.com/office/drawing/2010/main"/>
                      </a:ext>
                    </a:extLst>
                  </pic:spPr>
                </pic:pic>
              </a:graphicData>
            </a:graphic>
          </wp:inline>
        </w:drawing>
      </w:r>
    </w:p>
    <w:p w14:paraId="51492AE5" w14:textId="2EADE3F2" w:rsidR="00F151A3" w:rsidRPr="00A907D5" w:rsidRDefault="003F333C" w:rsidP="00A907D5">
      <w:pPr>
        <w:jc w:val="center"/>
        <w:rPr>
          <w:sz w:val="18"/>
          <w:szCs w:val="18"/>
        </w:rPr>
      </w:pPr>
      <w:bookmarkStart w:id="29" w:name="_Ref916389"/>
      <w:bookmarkStart w:id="30" w:name="_Toc7073636"/>
      <w:r w:rsidRPr="00A907D5">
        <w:rPr>
          <w:i/>
          <w:sz w:val="18"/>
          <w:szCs w:val="18"/>
        </w:rPr>
        <w:t xml:space="preserve">Figure </w:t>
      </w:r>
      <w:r w:rsidR="00283F5A" w:rsidRPr="00A907D5">
        <w:rPr>
          <w:i/>
          <w:iCs/>
          <w:noProof/>
          <w:sz w:val="18"/>
          <w:szCs w:val="18"/>
        </w:rPr>
        <w:fldChar w:fldCharType="begin"/>
      </w:r>
      <w:r w:rsidR="00283F5A" w:rsidRPr="00A907D5">
        <w:rPr>
          <w:i/>
          <w:noProof/>
          <w:sz w:val="18"/>
          <w:szCs w:val="18"/>
        </w:rPr>
        <w:instrText xml:space="preserve"> SEQ Figure \* ARABIC </w:instrText>
      </w:r>
      <w:r w:rsidR="00283F5A" w:rsidRPr="00A907D5">
        <w:rPr>
          <w:i/>
          <w:iCs/>
          <w:noProof/>
          <w:sz w:val="18"/>
          <w:szCs w:val="18"/>
        </w:rPr>
        <w:fldChar w:fldCharType="separate"/>
      </w:r>
      <w:r w:rsidR="00223050" w:rsidRPr="00A907D5">
        <w:rPr>
          <w:i/>
          <w:noProof/>
          <w:sz w:val="18"/>
          <w:szCs w:val="18"/>
        </w:rPr>
        <w:t>3</w:t>
      </w:r>
      <w:r w:rsidR="00283F5A" w:rsidRPr="00A907D5">
        <w:rPr>
          <w:i/>
          <w:iCs/>
          <w:noProof/>
          <w:sz w:val="18"/>
          <w:szCs w:val="18"/>
        </w:rPr>
        <w:fldChar w:fldCharType="end"/>
      </w:r>
      <w:bookmarkEnd w:id="29"/>
      <w:r w:rsidR="00640C27" w:rsidRPr="00A907D5">
        <w:rPr>
          <w:i/>
          <w:iCs/>
          <w:noProof/>
          <w:sz w:val="18"/>
          <w:szCs w:val="18"/>
        </w:rPr>
        <w:t>.</w:t>
      </w:r>
      <w:r w:rsidRPr="00A907D5">
        <w:rPr>
          <w:i/>
          <w:sz w:val="18"/>
          <w:szCs w:val="18"/>
        </w:rPr>
        <w:t xml:space="preserve"> NEG unity price for 2017. The figure shows the distribution per month for the negative imbalance pricing</w:t>
      </w:r>
      <w:r w:rsidR="003556A9" w:rsidRPr="00A907D5">
        <w:rPr>
          <w:i/>
          <w:sz w:val="18"/>
          <w:szCs w:val="18"/>
        </w:rPr>
        <w:t xml:space="preserve"> (generation shortage or consumption surplus)</w:t>
      </w:r>
      <w:r w:rsidRPr="00A907D5">
        <w:rPr>
          <w:i/>
          <w:sz w:val="18"/>
          <w:szCs w:val="18"/>
        </w:rPr>
        <w:t>.</w:t>
      </w:r>
      <w:bookmarkEnd w:id="30"/>
    </w:p>
    <w:p w14:paraId="2E5D42AB" w14:textId="77777777" w:rsidR="00AC5444" w:rsidRPr="00814236" w:rsidRDefault="00AC5444" w:rsidP="00141F1C">
      <w:pPr>
        <w:pStyle w:val="Caption"/>
      </w:pPr>
    </w:p>
    <w:p w14:paraId="21845947" w14:textId="498604C5" w:rsidR="003556A9" w:rsidRPr="00814236" w:rsidRDefault="009E2893" w:rsidP="00141F1C">
      <w:pPr>
        <w:rPr>
          <w:rFonts w:cs="Times New Roman"/>
        </w:rPr>
      </w:pPr>
      <w:r w:rsidRPr="00814236">
        <w:rPr>
          <w:rFonts w:cs="Times New Roman"/>
        </w:rPr>
        <w:t xml:space="preserve">Table 1 </w:t>
      </w:r>
      <w:r w:rsidR="00EA0954">
        <w:rPr>
          <w:rFonts w:cs="Times New Roman"/>
        </w:rPr>
        <w:t xml:space="preserve">above </w:t>
      </w:r>
      <w:r w:rsidRPr="00814236">
        <w:rPr>
          <w:rFonts w:cs="Times New Roman"/>
        </w:rPr>
        <w:t xml:space="preserve">provides a comparison of the different simulation results for a domestic usage pattern controlled by an EMPC controller. The energy cost rises but is </w:t>
      </w:r>
      <w:r w:rsidR="00EA0954" w:rsidRPr="00EA0954">
        <w:rPr>
          <w:rFonts w:cs="Times New Roman"/>
        </w:rPr>
        <w:t xml:space="preserve">fully </w:t>
      </w:r>
      <w:r w:rsidRPr="00814236">
        <w:rPr>
          <w:rFonts w:cs="Times New Roman"/>
        </w:rPr>
        <w:t xml:space="preserve">compensated for by the payment for imbalance participation. This is </w:t>
      </w:r>
      <w:r w:rsidR="00EA0954">
        <w:rPr>
          <w:rFonts w:cs="Times New Roman"/>
        </w:rPr>
        <w:t>un</w:t>
      </w:r>
      <w:r w:rsidRPr="00814236">
        <w:rPr>
          <w:rFonts w:cs="Times New Roman"/>
        </w:rPr>
        <w:t>surpris</w:t>
      </w:r>
      <w:r w:rsidR="00EA0954">
        <w:rPr>
          <w:rFonts w:cs="Times New Roman"/>
        </w:rPr>
        <w:t>ing,</w:t>
      </w:r>
      <w:r w:rsidRPr="00814236">
        <w:rPr>
          <w:rFonts w:cs="Times New Roman"/>
        </w:rPr>
        <w:t xml:space="preserve"> as </w:t>
      </w:r>
      <w:r w:rsidRPr="00814236">
        <w:rPr>
          <w:rFonts w:cs="Times New Roman"/>
        </w:rPr>
        <w:lastRenderedPageBreak/>
        <w:t>the controller is programmed to only allow participation in grid balancing when the gain is higher than the energy cost associated with participation. The energy cost rises because if the grid is long on energy, the boiler will start heating beyond its normal operation setpoint and thus stor</w:t>
      </w:r>
      <w:r w:rsidR="00EA0954">
        <w:rPr>
          <w:rFonts w:cs="Times New Roman"/>
        </w:rPr>
        <w:t>e</w:t>
      </w:r>
      <w:r w:rsidRPr="00814236">
        <w:rPr>
          <w:rFonts w:cs="Times New Roman"/>
        </w:rPr>
        <w:t xml:space="preserve"> energy. </w:t>
      </w:r>
      <w:r w:rsidR="00EA0954">
        <w:rPr>
          <w:rFonts w:cs="Times New Roman"/>
        </w:rPr>
        <w:t xml:space="preserve">With this, </w:t>
      </w:r>
      <w:r w:rsidRPr="00814236">
        <w:rPr>
          <w:rFonts w:cs="Times New Roman"/>
        </w:rPr>
        <w:t xml:space="preserve">from an economical point of view it makes sense to control the boiler. </w:t>
      </w:r>
      <w:r w:rsidR="00EA0954">
        <w:rPr>
          <w:rFonts w:cs="Times New Roman"/>
        </w:rPr>
        <w:t>Meanwhile, f</w:t>
      </w:r>
      <w:r w:rsidRPr="00814236">
        <w:rPr>
          <w:rFonts w:cs="Times New Roman"/>
        </w:rPr>
        <w:t xml:space="preserve">rom an environmental point of view, the energy usage will be higher. </w:t>
      </w:r>
      <w:r w:rsidR="00093E5A">
        <w:rPr>
          <w:rFonts w:cs="Times New Roman"/>
        </w:rPr>
        <w:t>However, t</w:t>
      </w:r>
      <w:r w:rsidRPr="00814236">
        <w:rPr>
          <w:rFonts w:cs="Times New Roman"/>
        </w:rPr>
        <w:t>his does not mean that there is a definite negative impact on the environment as the surplus of energy can be due to a sudden peak in renewable energy generation, which is then converted and stored as heat. If the excess of energy is not caused by a peak of renewables but because other phenomena on the net</w:t>
      </w:r>
      <w:r w:rsidR="00C53BAB" w:rsidRPr="00814236">
        <w:rPr>
          <w:rFonts w:cs="Times New Roman"/>
        </w:rPr>
        <w:t xml:space="preserve"> (e.g. sudden drop in load, the ramp up of a production unit, </w:t>
      </w:r>
      <w:r w:rsidR="00EA0954">
        <w:rPr>
          <w:rFonts w:cs="Times New Roman"/>
        </w:rPr>
        <w:t>etc.</w:t>
      </w:r>
      <w:r w:rsidR="00C53BAB" w:rsidRPr="00814236">
        <w:rPr>
          <w:rFonts w:cs="Times New Roman"/>
        </w:rPr>
        <w:t>)</w:t>
      </w:r>
      <w:r w:rsidRPr="00814236">
        <w:rPr>
          <w:rFonts w:cs="Times New Roman"/>
        </w:rPr>
        <w:t xml:space="preserve">, care must be taken that the systems are not going to reward irresponsible energy usage. </w:t>
      </w:r>
    </w:p>
    <w:p w14:paraId="24547D39" w14:textId="3571D86D" w:rsidR="00C53BAB" w:rsidRPr="00814236" w:rsidRDefault="00EA0954" w:rsidP="00A907D5">
      <w:pPr>
        <w:pStyle w:val="Heading3"/>
        <w:rPr>
          <w:rFonts w:cs="Times New Roman"/>
        </w:rPr>
      </w:pPr>
      <w:bookmarkStart w:id="31" w:name="_Toc7096538"/>
      <w:r>
        <w:t xml:space="preserve">3.2. </w:t>
      </w:r>
      <w:r w:rsidR="007F1AEC" w:rsidRPr="00814236">
        <w:t>Highly insulated boiler</w:t>
      </w:r>
      <w:r w:rsidR="008B40E6" w:rsidRPr="00814236">
        <w:t xml:space="preserve"> and</w:t>
      </w:r>
      <w:r w:rsidR="007F1AEC" w:rsidRPr="00814236">
        <w:t xml:space="preserve"> advanced control: </w:t>
      </w:r>
      <w:r>
        <w:t>A</w:t>
      </w:r>
      <w:r w:rsidR="007F1AEC" w:rsidRPr="00814236">
        <w:t>nalysis of monthly net cash flows</w:t>
      </w:r>
      <w:bookmarkEnd w:id="31"/>
    </w:p>
    <w:p w14:paraId="18D5D994" w14:textId="7A736EE3" w:rsidR="0055202F" w:rsidRDefault="00C53BAB" w:rsidP="00141F1C">
      <w:pPr>
        <w:rPr>
          <w:rFonts w:cs="Times New Roman"/>
        </w:rPr>
      </w:pPr>
      <w:r w:rsidRPr="00814236">
        <w:rPr>
          <w:rFonts w:cs="Times New Roman"/>
        </w:rPr>
        <w:t>Becaus</w:t>
      </w:r>
      <w:r w:rsidR="0038149C" w:rsidRPr="00814236">
        <w:rPr>
          <w:rFonts w:cs="Times New Roman"/>
        </w:rPr>
        <w:t xml:space="preserve">e the link between energy usage and the revenue for flexibility is present, the same simulation setup was used with a </w:t>
      </w:r>
      <w:r w:rsidR="001306C0" w:rsidRPr="00814236">
        <w:rPr>
          <w:rFonts w:cs="Times New Roman"/>
        </w:rPr>
        <w:t>better</w:t>
      </w:r>
      <w:r w:rsidR="0038149C" w:rsidRPr="00814236">
        <w:rPr>
          <w:rFonts w:cs="Times New Roman"/>
        </w:rPr>
        <w:t xml:space="preserve"> insulated boiler. Because the boiler is </w:t>
      </w:r>
      <w:r w:rsidR="001306C0" w:rsidRPr="00814236">
        <w:rPr>
          <w:rFonts w:cs="Times New Roman"/>
        </w:rPr>
        <w:t>better</w:t>
      </w:r>
      <w:r w:rsidR="0038149C" w:rsidRPr="00814236">
        <w:rPr>
          <w:rFonts w:cs="Times New Roman"/>
        </w:rPr>
        <w:t xml:space="preserve"> insulated, it </w:t>
      </w:r>
      <w:r w:rsidR="00F151A3" w:rsidRPr="00814236">
        <w:rPr>
          <w:rFonts w:cs="Times New Roman"/>
        </w:rPr>
        <w:t>loses</w:t>
      </w:r>
      <w:r w:rsidR="0038149C" w:rsidRPr="00814236">
        <w:rPr>
          <w:rFonts w:cs="Times New Roman"/>
        </w:rPr>
        <w:t xml:space="preserve"> energy more </w:t>
      </w:r>
      <w:r w:rsidR="001306C0" w:rsidRPr="00814236">
        <w:rPr>
          <w:rFonts w:cs="Times New Roman"/>
        </w:rPr>
        <w:t>slowly</w:t>
      </w:r>
      <w:r w:rsidR="0038149C" w:rsidRPr="00814236">
        <w:rPr>
          <w:rFonts w:cs="Times New Roman"/>
        </w:rPr>
        <w:t xml:space="preserve"> and thus has </w:t>
      </w:r>
      <w:r w:rsidR="001306C0" w:rsidRPr="00814236">
        <w:rPr>
          <w:rFonts w:cs="Times New Roman"/>
        </w:rPr>
        <w:t>less</w:t>
      </w:r>
      <w:r w:rsidR="0038149C" w:rsidRPr="00814236">
        <w:rPr>
          <w:rFonts w:cs="Times New Roman"/>
        </w:rPr>
        <w:t xml:space="preserve"> ‘capacity’ to store energy from a flexibility point of view. Because of this </w:t>
      </w:r>
      <w:r w:rsidR="00093E5A">
        <w:rPr>
          <w:rFonts w:cs="Times New Roman"/>
        </w:rPr>
        <w:t>‘</w:t>
      </w:r>
      <w:r w:rsidR="001306C0" w:rsidRPr="00814236">
        <w:rPr>
          <w:rFonts w:cs="Times New Roman"/>
        </w:rPr>
        <w:t>lower</w:t>
      </w:r>
      <w:r w:rsidR="0038149C" w:rsidRPr="00814236">
        <w:rPr>
          <w:rFonts w:cs="Times New Roman"/>
        </w:rPr>
        <w:t xml:space="preserve"> capacity</w:t>
      </w:r>
      <w:r w:rsidR="00093E5A">
        <w:rPr>
          <w:rFonts w:cs="Times New Roman"/>
        </w:rPr>
        <w:t>’</w:t>
      </w:r>
      <w:r w:rsidR="00AA7258">
        <w:rPr>
          <w:rFonts w:cs="Times New Roman"/>
        </w:rPr>
        <w:t>,</w:t>
      </w:r>
      <w:r w:rsidR="0038149C" w:rsidRPr="00814236">
        <w:rPr>
          <w:rFonts w:cs="Times New Roman"/>
        </w:rPr>
        <w:t xml:space="preserve"> the revenue from selling flexibility is </w:t>
      </w:r>
      <w:r w:rsidR="001306C0" w:rsidRPr="00814236">
        <w:rPr>
          <w:rFonts w:cs="Times New Roman"/>
        </w:rPr>
        <w:t>less</w:t>
      </w:r>
      <w:r w:rsidR="0038149C" w:rsidRPr="00814236">
        <w:rPr>
          <w:rFonts w:cs="Times New Roman"/>
        </w:rPr>
        <w:t>. From an economic</w:t>
      </w:r>
      <w:r w:rsidR="00AA7258">
        <w:rPr>
          <w:rFonts w:cs="Times New Roman"/>
        </w:rPr>
        <w:t>al</w:t>
      </w:r>
      <w:r w:rsidR="0038149C" w:rsidRPr="00814236">
        <w:rPr>
          <w:rFonts w:cs="Times New Roman"/>
        </w:rPr>
        <w:t xml:space="preserve"> point of </w:t>
      </w:r>
      <w:r w:rsidR="00F151A3" w:rsidRPr="00814236">
        <w:rPr>
          <w:rFonts w:cs="Times New Roman"/>
        </w:rPr>
        <w:t>view</w:t>
      </w:r>
      <w:r w:rsidR="00AA7258">
        <w:rPr>
          <w:rFonts w:cs="Times New Roman"/>
        </w:rPr>
        <w:t xml:space="preserve"> then</w:t>
      </w:r>
      <w:r w:rsidR="00F151A3" w:rsidRPr="00814236">
        <w:rPr>
          <w:rFonts w:cs="Times New Roman"/>
        </w:rPr>
        <w:t>,</w:t>
      </w:r>
      <w:r w:rsidR="0038149C" w:rsidRPr="00814236">
        <w:rPr>
          <w:rFonts w:cs="Times New Roman"/>
        </w:rPr>
        <w:t xml:space="preserve"> it makes sense to look for an optimal value between energy usage and insulation when selling flexibility.</w:t>
      </w:r>
    </w:p>
    <w:p w14:paraId="152EB491" w14:textId="08D0C3FA" w:rsidR="00AA7258" w:rsidRDefault="00AA7258" w:rsidP="00141F1C">
      <w:pPr>
        <w:rPr>
          <w:rFonts w:cs="Times New Roman"/>
        </w:rPr>
      </w:pPr>
    </w:p>
    <w:p w14:paraId="4BFAF66E" w14:textId="75CCC508" w:rsidR="00AA7258" w:rsidRDefault="00AA7258" w:rsidP="00141F1C">
      <w:pPr>
        <w:rPr>
          <w:rFonts w:cs="Times New Roman"/>
        </w:rPr>
      </w:pPr>
    </w:p>
    <w:p w14:paraId="4BAFB366" w14:textId="2E8234AF" w:rsidR="00AA7258" w:rsidRDefault="00AA7258" w:rsidP="00141F1C">
      <w:pPr>
        <w:rPr>
          <w:rFonts w:cs="Times New Roman"/>
        </w:rPr>
      </w:pPr>
    </w:p>
    <w:p w14:paraId="542BF53D" w14:textId="356C12EE" w:rsidR="00AA7258" w:rsidRDefault="00AA7258" w:rsidP="00141F1C">
      <w:pPr>
        <w:rPr>
          <w:rFonts w:cs="Times New Roman"/>
        </w:rPr>
      </w:pPr>
    </w:p>
    <w:p w14:paraId="0DC6C5F4" w14:textId="77777777" w:rsidR="00AA7258" w:rsidRPr="00814236" w:rsidRDefault="00AA7258" w:rsidP="00141F1C">
      <w:pPr>
        <w:rPr>
          <w:rFonts w:cs="Times New Roman"/>
        </w:rPr>
      </w:pPr>
    </w:p>
    <w:tbl>
      <w:tblPr>
        <w:tblStyle w:val="TableGrid"/>
        <w:tblpPr w:leftFromText="180" w:rightFromText="180" w:vertAnchor="text" w:horzAnchor="margin" w:tblpY="-6"/>
        <w:tblW w:w="8318"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76"/>
        <w:gridCol w:w="1014"/>
        <w:gridCol w:w="1277"/>
        <w:gridCol w:w="1277"/>
        <w:gridCol w:w="1497"/>
        <w:gridCol w:w="1977"/>
      </w:tblGrid>
      <w:tr w:rsidR="0055202F" w:rsidRPr="00814236" w14:paraId="6795C189" w14:textId="77777777" w:rsidTr="00A907D5">
        <w:tc>
          <w:tcPr>
            <w:tcW w:w="1276" w:type="dxa"/>
            <w:tcBorders>
              <w:top w:val="single" w:sz="4" w:space="0" w:color="auto"/>
              <w:bottom w:val="single" w:sz="4" w:space="0" w:color="auto"/>
            </w:tcBorders>
          </w:tcPr>
          <w:p w14:paraId="624476AA" w14:textId="77777777" w:rsidR="0055202F" w:rsidRPr="00814236" w:rsidRDefault="0055202F" w:rsidP="00AA7258">
            <w:pPr>
              <w:jc w:val="center"/>
              <w:rPr>
                <w:rFonts w:cs="Times New Roman"/>
                <w:b/>
                <w:sz w:val="22"/>
              </w:rPr>
            </w:pPr>
          </w:p>
        </w:tc>
        <w:tc>
          <w:tcPr>
            <w:tcW w:w="2291" w:type="dxa"/>
            <w:gridSpan w:val="2"/>
            <w:tcBorders>
              <w:top w:val="single" w:sz="4" w:space="0" w:color="auto"/>
              <w:bottom w:val="single" w:sz="4" w:space="0" w:color="auto"/>
            </w:tcBorders>
          </w:tcPr>
          <w:p w14:paraId="65464BFE" w14:textId="791FBC4A" w:rsidR="0055202F" w:rsidRPr="00814236" w:rsidRDefault="0055202F" w:rsidP="00A907D5">
            <w:pPr>
              <w:spacing w:line="240" w:lineRule="auto"/>
              <w:jc w:val="center"/>
              <w:rPr>
                <w:rFonts w:cs="Times New Roman"/>
                <w:b/>
                <w:sz w:val="22"/>
              </w:rPr>
            </w:pPr>
            <w:r w:rsidRPr="00814236">
              <w:rPr>
                <w:rFonts w:cs="Times New Roman"/>
                <w:b/>
                <w:sz w:val="22"/>
              </w:rPr>
              <w:t>Normal setup</w:t>
            </w:r>
          </w:p>
        </w:tc>
        <w:tc>
          <w:tcPr>
            <w:tcW w:w="2774" w:type="dxa"/>
            <w:gridSpan w:val="2"/>
            <w:tcBorders>
              <w:top w:val="single" w:sz="4" w:space="0" w:color="auto"/>
              <w:bottom w:val="single" w:sz="4" w:space="0" w:color="auto"/>
            </w:tcBorders>
          </w:tcPr>
          <w:p w14:paraId="6E4E5BFE" w14:textId="3971E1A4" w:rsidR="0055202F" w:rsidRPr="00814236" w:rsidRDefault="0055202F" w:rsidP="00A907D5">
            <w:pPr>
              <w:spacing w:line="240" w:lineRule="auto"/>
              <w:jc w:val="center"/>
              <w:rPr>
                <w:rFonts w:cs="Times New Roman"/>
                <w:b/>
                <w:sz w:val="22"/>
              </w:rPr>
            </w:pPr>
            <w:r w:rsidRPr="00814236">
              <w:rPr>
                <w:rFonts w:cs="Times New Roman"/>
                <w:b/>
                <w:sz w:val="22"/>
              </w:rPr>
              <w:t>Energy optim</w:t>
            </w:r>
            <w:r w:rsidR="00E927FA" w:rsidRPr="00814236">
              <w:rPr>
                <w:rFonts w:cs="Times New Roman"/>
                <w:b/>
                <w:sz w:val="22"/>
              </w:rPr>
              <w:t>is</w:t>
            </w:r>
            <w:r w:rsidRPr="00814236">
              <w:rPr>
                <w:rFonts w:cs="Times New Roman"/>
                <w:b/>
                <w:sz w:val="22"/>
              </w:rPr>
              <w:t>ed setup</w:t>
            </w:r>
          </w:p>
        </w:tc>
        <w:tc>
          <w:tcPr>
            <w:tcW w:w="1977" w:type="dxa"/>
            <w:tcBorders>
              <w:top w:val="single" w:sz="4" w:space="0" w:color="auto"/>
              <w:bottom w:val="single" w:sz="4" w:space="0" w:color="auto"/>
            </w:tcBorders>
          </w:tcPr>
          <w:p w14:paraId="4F2C0A58" w14:textId="77777777" w:rsidR="0055202F" w:rsidRPr="00814236" w:rsidRDefault="0055202F" w:rsidP="00A907D5">
            <w:pPr>
              <w:spacing w:line="240" w:lineRule="auto"/>
              <w:jc w:val="center"/>
              <w:rPr>
                <w:rFonts w:cs="Times New Roman"/>
                <w:b/>
                <w:sz w:val="22"/>
              </w:rPr>
            </w:pPr>
          </w:p>
        </w:tc>
      </w:tr>
      <w:tr w:rsidR="0055202F" w:rsidRPr="00814236" w14:paraId="03679E3E" w14:textId="77777777" w:rsidTr="00A907D5">
        <w:trPr>
          <w:trHeight w:val="1080"/>
        </w:trPr>
        <w:tc>
          <w:tcPr>
            <w:tcW w:w="1276" w:type="dxa"/>
            <w:tcBorders>
              <w:top w:val="single" w:sz="4" w:space="0" w:color="auto"/>
              <w:bottom w:val="single" w:sz="4" w:space="0" w:color="auto"/>
            </w:tcBorders>
          </w:tcPr>
          <w:p w14:paraId="4A2BA479" w14:textId="77777777" w:rsidR="0055202F" w:rsidRPr="00814236" w:rsidRDefault="0055202F" w:rsidP="00AA7258">
            <w:pPr>
              <w:jc w:val="center"/>
              <w:rPr>
                <w:rFonts w:cs="Times New Roman"/>
                <w:b/>
                <w:sz w:val="22"/>
              </w:rPr>
            </w:pPr>
            <w:bookmarkStart w:id="32" w:name="_Ref5461942"/>
            <w:bookmarkStart w:id="33" w:name="_Ref5461967"/>
            <w:r w:rsidRPr="00814236">
              <w:rPr>
                <w:rFonts w:cs="Times New Roman"/>
                <w:b/>
                <w:sz w:val="22"/>
              </w:rPr>
              <w:t>Month</w:t>
            </w:r>
          </w:p>
        </w:tc>
        <w:tc>
          <w:tcPr>
            <w:tcW w:w="1014" w:type="dxa"/>
            <w:tcBorders>
              <w:top w:val="single" w:sz="4" w:space="0" w:color="auto"/>
              <w:bottom w:val="single" w:sz="4" w:space="0" w:color="auto"/>
            </w:tcBorders>
          </w:tcPr>
          <w:p w14:paraId="07518DDA" w14:textId="77777777" w:rsidR="0055202F" w:rsidRPr="00814236" w:rsidRDefault="0055202F" w:rsidP="00A907D5">
            <w:pPr>
              <w:spacing w:line="240" w:lineRule="auto"/>
              <w:jc w:val="center"/>
              <w:rPr>
                <w:rFonts w:cs="Times New Roman"/>
                <w:b/>
                <w:sz w:val="22"/>
              </w:rPr>
            </w:pPr>
            <w:r w:rsidRPr="00814236">
              <w:rPr>
                <w:rFonts w:cs="Times New Roman"/>
                <w:b/>
                <w:sz w:val="22"/>
              </w:rPr>
              <w:t>Cost energy [euros]</w:t>
            </w:r>
          </w:p>
          <w:p w14:paraId="5EBB9A24" w14:textId="77777777" w:rsidR="0055202F" w:rsidRPr="00814236" w:rsidRDefault="0055202F" w:rsidP="00A907D5">
            <w:pPr>
              <w:spacing w:line="240" w:lineRule="auto"/>
              <w:jc w:val="center"/>
              <w:rPr>
                <w:rFonts w:cs="Times New Roman"/>
                <w:b/>
                <w:sz w:val="22"/>
              </w:rPr>
            </w:pPr>
          </w:p>
        </w:tc>
        <w:tc>
          <w:tcPr>
            <w:tcW w:w="1277" w:type="dxa"/>
            <w:tcBorders>
              <w:top w:val="single" w:sz="4" w:space="0" w:color="auto"/>
              <w:bottom w:val="single" w:sz="4" w:space="0" w:color="auto"/>
            </w:tcBorders>
          </w:tcPr>
          <w:p w14:paraId="5E154EE3" w14:textId="77777777" w:rsidR="0055202F" w:rsidRPr="00814236" w:rsidRDefault="0055202F" w:rsidP="00A907D5">
            <w:pPr>
              <w:spacing w:line="240" w:lineRule="auto"/>
              <w:jc w:val="center"/>
              <w:rPr>
                <w:rFonts w:cs="Times New Roman"/>
                <w:b/>
                <w:sz w:val="22"/>
              </w:rPr>
            </w:pPr>
            <w:r w:rsidRPr="00814236">
              <w:rPr>
                <w:rFonts w:cs="Times New Roman"/>
                <w:b/>
                <w:sz w:val="22"/>
              </w:rPr>
              <w:t>Revenue imbalance participation [euros]</w:t>
            </w:r>
          </w:p>
          <w:p w14:paraId="7280454F" w14:textId="77777777" w:rsidR="0055202F" w:rsidRPr="00814236" w:rsidRDefault="0055202F" w:rsidP="00A907D5">
            <w:pPr>
              <w:spacing w:line="240" w:lineRule="auto"/>
              <w:jc w:val="center"/>
              <w:rPr>
                <w:rFonts w:cs="Times New Roman"/>
                <w:b/>
                <w:sz w:val="22"/>
              </w:rPr>
            </w:pPr>
          </w:p>
        </w:tc>
        <w:tc>
          <w:tcPr>
            <w:tcW w:w="1277" w:type="dxa"/>
            <w:tcBorders>
              <w:top w:val="single" w:sz="4" w:space="0" w:color="auto"/>
              <w:bottom w:val="single" w:sz="4" w:space="0" w:color="auto"/>
            </w:tcBorders>
          </w:tcPr>
          <w:p w14:paraId="3DEFE8A7" w14:textId="77777777" w:rsidR="0055202F" w:rsidRPr="00814236" w:rsidRDefault="0055202F" w:rsidP="00A907D5">
            <w:pPr>
              <w:spacing w:line="240" w:lineRule="auto"/>
              <w:jc w:val="center"/>
              <w:rPr>
                <w:rFonts w:cs="Times New Roman"/>
                <w:b/>
                <w:sz w:val="22"/>
              </w:rPr>
            </w:pPr>
            <w:r w:rsidRPr="00814236">
              <w:rPr>
                <w:rFonts w:cs="Times New Roman"/>
                <w:b/>
                <w:sz w:val="22"/>
              </w:rPr>
              <w:t>Cost energy [euros]</w:t>
            </w:r>
          </w:p>
          <w:p w14:paraId="37BD195F" w14:textId="77777777" w:rsidR="0055202F" w:rsidRPr="00814236" w:rsidRDefault="0055202F" w:rsidP="00A907D5">
            <w:pPr>
              <w:spacing w:line="240" w:lineRule="auto"/>
              <w:jc w:val="center"/>
              <w:rPr>
                <w:rFonts w:cs="Times New Roman"/>
                <w:b/>
                <w:sz w:val="22"/>
              </w:rPr>
            </w:pPr>
          </w:p>
        </w:tc>
        <w:tc>
          <w:tcPr>
            <w:tcW w:w="1497" w:type="dxa"/>
            <w:tcBorders>
              <w:top w:val="single" w:sz="4" w:space="0" w:color="auto"/>
              <w:bottom w:val="single" w:sz="4" w:space="0" w:color="auto"/>
            </w:tcBorders>
          </w:tcPr>
          <w:p w14:paraId="6C832F05" w14:textId="77777777" w:rsidR="0055202F" w:rsidRPr="00814236" w:rsidRDefault="0055202F" w:rsidP="00A907D5">
            <w:pPr>
              <w:spacing w:line="240" w:lineRule="auto"/>
              <w:jc w:val="center"/>
              <w:rPr>
                <w:rFonts w:cs="Times New Roman"/>
                <w:b/>
                <w:sz w:val="22"/>
              </w:rPr>
            </w:pPr>
            <w:r w:rsidRPr="00814236">
              <w:rPr>
                <w:rFonts w:cs="Times New Roman"/>
                <w:b/>
                <w:sz w:val="22"/>
              </w:rPr>
              <w:t>Revenue imbalance participation [euros]</w:t>
            </w:r>
          </w:p>
          <w:p w14:paraId="7FAFC707" w14:textId="77777777" w:rsidR="0055202F" w:rsidRPr="00814236" w:rsidRDefault="0055202F" w:rsidP="00A907D5">
            <w:pPr>
              <w:spacing w:line="240" w:lineRule="auto"/>
              <w:jc w:val="center"/>
              <w:rPr>
                <w:rFonts w:cs="Times New Roman"/>
                <w:b/>
                <w:sz w:val="22"/>
              </w:rPr>
            </w:pPr>
          </w:p>
        </w:tc>
        <w:tc>
          <w:tcPr>
            <w:tcW w:w="1977" w:type="dxa"/>
            <w:tcBorders>
              <w:top w:val="single" w:sz="4" w:space="0" w:color="auto"/>
              <w:bottom w:val="single" w:sz="4" w:space="0" w:color="auto"/>
            </w:tcBorders>
          </w:tcPr>
          <w:p w14:paraId="15734D42" w14:textId="77777777" w:rsidR="0055202F" w:rsidRPr="00814236" w:rsidRDefault="0055202F" w:rsidP="00A907D5">
            <w:pPr>
              <w:spacing w:line="240" w:lineRule="auto"/>
              <w:jc w:val="center"/>
              <w:rPr>
                <w:rFonts w:cs="Times New Roman"/>
                <w:b/>
                <w:sz w:val="22"/>
              </w:rPr>
            </w:pPr>
            <w:r w:rsidRPr="00814236">
              <w:rPr>
                <w:rFonts w:cs="Times New Roman"/>
                <w:b/>
                <w:sz w:val="22"/>
              </w:rPr>
              <w:t>Overall decrease in revenue [euro]</w:t>
            </w:r>
          </w:p>
        </w:tc>
      </w:tr>
      <w:tr w:rsidR="0055202F" w:rsidRPr="00814236" w14:paraId="584CDC83" w14:textId="77777777" w:rsidTr="00A907D5">
        <w:tc>
          <w:tcPr>
            <w:tcW w:w="1276" w:type="dxa"/>
            <w:tcBorders>
              <w:top w:val="single" w:sz="4" w:space="0" w:color="auto"/>
              <w:bottom w:val="single" w:sz="4" w:space="0" w:color="auto"/>
            </w:tcBorders>
          </w:tcPr>
          <w:p w14:paraId="392E6C04" w14:textId="77777777" w:rsidR="0055202F" w:rsidRPr="00814236" w:rsidRDefault="0055202F" w:rsidP="00AA7258">
            <w:pPr>
              <w:jc w:val="center"/>
              <w:rPr>
                <w:rFonts w:cs="Times New Roman"/>
                <w:b/>
                <w:sz w:val="22"/>
              </w:rPr>
            </w:pPr>
          </w:p>
        </w:tc>
        <w:tc>
          <w:tcPr>
            <w:tcW w:w="1014" w:type="dxa"/>
            <w:tcBorders>
              <w:top w:val="single" w:sz="4" w:space="0" w:color="auto"/>
              <w:bottom w:val="single" w:sz="4" w:space="0" w:color="auto"/>
            </w:tcBorders>
          </w:tcPr>
          <w:p w14:paraId="44F2B7D6" w14:textId="77777777" w:rsidR="0055202F" w:rsidRPr="00814236" w:rsidRDefault="0055202F" w:rsidP="00A907D5">
            <w:pPr>
              <w:spacing w:line="240" w:lineRule="auto"/>
              <w:jc w:val="center"/>
              <w:rPr>
                <w:rFonts w:cs="Times New Roman"/>
                <w:b/>
                <w:sz w:val="22"/>
              </w:rPr>
            </w:pPr>
            <w:r w:rsidRPr="00814236">
              <w:rPr>
                <w:rFonts w:cs="Times New Roman"/>
                <w:b/>
                <w:sz w:val="22"/>
              </w:rPr>
              <w:t>A</w:t>
            </w:r>
          </w:p>
        </w:tc>
        <w:tc>
          <w:tcPr>
            <w:tcW w:w="1277" w:type="dxa"/>
            <w:tcBorders>
              <w:top w:val="single" w:sz="4" w:space="0" w:color="auto"/>
              <w:bottom w:val="single" w:sz="4" w:space="0" w:color="auto"/>
            </w:tcBorders>
          </w:tcPr>
          <w:p w14:paraId="2E83532D" w14:textId="77777777" w:rsidR="0055202F" w:rsidRPr="00814236" w:rsidRDefault="0055202F" w:rsidP="00A907D5">
            <w:pPr>
              <w:spacing w:line="240" w:lineRule="auto"/>
              <w:jc w:val="center"/>
              <w:rPr>
                <w:rFonts w:cs="Times New Roman"/>
                <w:b/>
                <w:sz w:val="22"/>
              </w:rPr>
            </w:pPr>
            <w:r w:rsidRPr="00814236">
              <w:rPr>
                <w:rFonts w:cs="Times New Roman"/>
                <w:b/>
                <w:sz w:val="22"/>
              </w:rPr>
              <w:t>B</w:t>
            </w:r>
          </w:p>
        </w:tc>
        <w:tc>
          <w:tcPr>
            <w:tcW w:w="1277" w:type="dxa"/>
            <w:tcBorders>
              <w:top w:val="single" w:sz="4" w:space="0" w:color="auto"/>
              <w:bottom w:val="single" w:sz="4" w:space="0" w:color="auto"/>
            </w:tcBorders>
          </w:tcPr>
          <w:p w14:paraId="7F1AB54B" w14:textId="77777777" w:rsidR="0055202F" w:rsidRPr="00814236" w:rsidRDefault="0055202F" w:rsidP="00A907D5">
            <w:pPr>
              <w:spacing w:line="240" w:lineRule="auto"/>
              <w:jc w:val="center"/>
              <w:rPr>
                <w:rFonts w:cs="Times New Roman"/>
                <w:b/>
                <w:sz w:val="22"/>
              </w:rPr>
            </w:pPr>
            <w:r w:rsidRPr="00814236">
              <w:rPr>
                <w:rFonts w:cs="Times New Roman"/>
                <w:b/>
                <w:sz w:val="22"/>
              </w:rPr>
              <w:t>C</w:t>
            </w:r>
          </w:p>
        </w:tc>
        <w:tc>
          <w:tcPr>
            <w:tcW w:w="1497" w:type="dxa"/>
            <w:tcBorders>
              <w:top w:val="single" w:sz="4" w:space="0" w:color="auto"/>
              <w:bottom w:val="single" w:sz="4" w:space="0" w:color="auto"/>
            </w:tcBorders>
          </w:tcPr>
          <w:p w14:paraId="3EA9F72E" w14:textId="77777777" w:rsidR="0055202F" w:rsidRPr="00814236" w:rsidRDefault="0055202F" w:rsidP="00A907D5">
            <w:pPr>
              <w:spacing w:line="240" w:lineRule="auto"/>
              <w:jc w:val="center"/>
              <w:rPr>
                <w:rFonts w:cs="Times New Roman"/>
                <w:b/>
                <w:sz w:val="22"/>
              </w:rPr>
            </w:pPr>
            <w:r w:rsidRPr="00814236">
              <w:rPr>
                <w:rFonts w:cs="Times New Roman"/>
                <w:b/>
                <w:sz w:val="22"/>
              </w:rPr>
              <w:t>D</w:t>
            </w:r>
          </w:p>
        </w:tc>
        <w:tc>
          <w:tcPr>
            <w:tcW w:w="1977" w:type="dxa"/>
            <w:tcBorders>
              <w:top w:val="single" w:sz="4" w:space="0" w:color="auto"/>
              <w:bottom w:val="single" w:sz="4" w:space="0" w:color="auto"/>
            </w:tcBorders>
          </w:tcPr>
          <w:p w14:paraId="197C8025" w14:textId="77777777" w:rsidR="0055202F" w:rsidRPr="00814236" w:rsidRDefault="0055202F" w:rsidP="00A907D5">
            <w:pPr>
              <w:spacing w:line="240" w:lineRule="auto"/>
              <w:jc w:val="center"/>
              <w:rPr>
                <w:rFonts w:cs="Times New Roman"/>
                <w:b/>
                <w:sz w:val="22"/>
              </w:rPr>
            </w:pPr>
            <w:r w:rsidRPr="00814236">
              <w:rPr>
                <w:rFonts w:cs="Times New Roman"/>
                <w:b/>
                <w:sz w:val="22"/>
              </w:rPr>
              <w:t>(-A+B) – (-C+D)</w:t>
            </w:r>
          </w:p>
        </w:tc>
      </w:tr>
      <w:tr w:rsidR="0055202F" w:rsidRPr="00814236" w14:paraId="5D8D92A2" w14:textId="77777777" w:rsidTr="00A907D5">
        <w:tc>
          <w:tcPr>
            <w:tcW w:w="1276" w:type="dxa"/>
            <w:tcBorders>
              <w:top w:val="single" w:sz="4" w:space="0" w:color="auto"/>
            </w:tcBorders>
          </w:tcPr>
          <w:p w14:paraId="17B47BF6" w14:textId="77777777" w:rsidR="0055202F" w:rsidRPr="00814236" w:rsidRDefault="0055202F" w:rsidP="00A907D5">
            <w:pPr>
              <w:pStyle w:val="NoSpacing"/>
              <w:spacing w:line="276" w:lineRule="auto"/>
            </w:pPr>
            <w:r w:rsidRPr="00814236">
              <w:t>January</w:t>
            </w:r>
          </w:p>
        </w:tc>
        <w:tc>
          <w:tcPr>
            <w:tcW w:w="1014" w:type="dxa"/>
            <w:tcBorders>
              <w:top w:val="single" w:sz="4" w:space="0" w:color="auto"/>
            </w:tcBorders>
          </w:tcPr>
          <w:p w14:paraId="02045534" w14:textId="77777777" w:rsidR="0055202F" w:rsidRPr="00814236" w:rsidRDefault="0055202F" w:rsidP="00A907D5">
            <w:pPr>
              <w:pStyle w:val="NoSpacing"/>
              <w:spacing w:line="276" w:lineRule="auto"/>
            </w:pPr>
            <w:r w:rsidRPr="00814236">
              <w:t>92.61</w:t>
            </w:r>
          </w:p>
        </w:tc>
        <w:tc>
          <w:tcPr>
            <w:tcW w:w="1277" w:type="dxa"/>
            <w:tcBorders>
              <w:top w:val="single" w:sz="4" w:space="0" w:color="auto"/>
            </w:tcBorders>
          </w:tcPr>
          <w:p w14:paraId="7B454E48" w14:textId="77777777" w:rsidR="0055202F" w:rsidRPr="00814236" w:rsidRDefault="0055202F" w:rsidP="00A907D5">
            <w:pPr>
              <w:pStyle w:val="NoSpacing"/>
              <w:spacing w:line="276" w:lineRule="auto"/>
            </w:pPr>
            <w:r w:rsidRPr="00814236">
              <w:t>166.50</w:t>
            </w:r>
          </w:p>
        </w:tc>
        <w:tc>
          <w:tcPr>
            <w:tcW w:w="1277" w:type="dxa"/>
            <w:tcBorders>
              <w:top w:val="single" w:sz="4" w:space="0" w:color="auto"/>
            </w:tcBorders>
          </w:tcPr>
          <w:p w14:paraId="2CD9084F" w14:textId="77777777" w:rsidR="0055202F" w:rsidRPr="00814236" w:rsidRDefault="0055202F" w:rsidP="00A907D5">
            <w:pPr>
              <w:pStyle w:val="NoSpacing"/>
              <w:spacing w:line="276" w:lineRule="auto"/>
            </w:pPr>
            <w:r w:rsidRPr="00814236">
              <w:t>84.37</w:t>
            </w:r>
          </w:p>
        </w:tc>
        <w:tc>
          <w:tcPr>
            <w:tcW w:w="1497" w:type="dxa"/>
            <w:tcBorders>
              <w:top w:val="single" w:sz="4" w:space="0" w:color="auto"/>
            </w:tcBorders>
          </w:tcPr>
          <w:p w14:paraId="1D209BB0" w14:textId="77777777" w:rsidR="0055202F" w:rsidRPr="00814236" w:rsidRDefault="0055202F" w:rsidP="00A907D5">
            <w:pPr>
              <w:pStyle w:val="NoSpacing"/>
              <w:spacing w:line="276" w:lineRule="auto"/>
            </w:pPr>
            <w:r w:rsidRPr="00814236">
              <w:t>157.40</w:t>
            </w:r>
          </w:p>
        </w:tc>
        <w:tc>
          <w:tcPr>
            <w:tcW w:w="1977" w:type="dxa"/>
            <w:tcBorders>
              <w:top w:val="single" w:sz="4" w:space="0" w:color="auto"/>
            </w:tcBorders>
          </w:tcPr>
          <w:p w14:paraId="07017260" w14:textId="77777777" w:rsidR="0055202F" w:rsidRPr="00814236" w:rsidRDefault="0055202F" w:rsidP="00A907D5">
            <w:pPr>
              <w:pStyle w:val="NoSpacing"/>
              <w:spacing w:line="276" w:lineRule="auto"/>
            </w:pPr>
            <w:r w:rsidRPr="00814236">
              <w:t>0.86</w:t>
            </w:r>
          </w:p>
        </w:tc>
      </w:tr>
      <w:tr w:rsidR="0055202F" w:rsidRPr="00814236" w14:paraId="53184C1A" w14:textId="77777777" w:rsidTr="00A907D5">
        <w:tc>
          <w:tcPr>
            <w:tcW w:w="1276" w:type="dxa"/>
          </w:tcPr>
          <w:p w14:paraId="1B3F2ED0" w14:textId="77777777" w:rsidR="0055202F" w:rsidRPr="00814236" w:rsidRDefault="0055202F" w:rsidP="00A907D5">
            <w:pPr>
              <w:pStyle w:val="NoSpacing"/>
              <w:spacing w:line="276" w:lineRule="auto"/>
            </w:pPr>
            <w:r w:rsidRPr="00814236">
              <w:t>February</w:t>
            </w:r>
          </w:p>
        </w:tc>
        <w:tc>
          <w:tcPr>
            <w:tcW w:w="1014" w:type="dxa"/>
          </w:tcPr>
          <w:p w14:paraId="61F3B2DC" w14:textId="77777777" w:rsidR="0055202F" w:rsidRPr="00814236" w:rsidRDefault="0055202F" w:rsidP="00A907D5">
            <w:pPr>
              <w:pStyle w:val="NoSpacing"/>
              <w:spacing w:line="276" w:lineRule="auto"/>
            </w:pPr>
            <w:r w:rsidRPr="00814236">
              <w:t>118.10</w:t>
            </w:r>
          </w:p>
        </w:tc>
        <w:tc>
          <w:tcPr>
            <w:tcW w:w="1277" w:type="dxa"/>
          </w:tcPr>
          <w:p w14:paraId="5D217ED5" w14:textId="77777777" w:rsidR="0055202F" w:rsidRPr="00814236" w:rsidRDefault="0055202F" w:rsidP="00A907D5">
            <w:pPr>
              <w:pStyle w:val="NoSpacing"/>
              <w:spacing w:line="276" w:lineRule="auto"/>
            </w:pPr>
            <w:r w:rsidRPr="00814236">
              <w:t>209.80</w:t>
            </w:r>
          </w:p>
        </w:tc>
        <w:tc>
          <w:tcPr>
            <w:tcW w:w="1277" w:type="dxa"/>
          </w:tcPr>
          <w:p w14:paraId="690B9435" w14:textId="77777777" w:rsidR="0055202F" w:rsidRPr="00814236" w:rsidRDefault="0055202F" w:rsidP="00A907D5">
            <w:pPr>
              <w:pStyle w:val="NoSpacing"/>
              <w:spacing w:line="276" w:lineRule="auto"/>
            </w:pPr>
            <w:r w:rsidRPr="00814236">
              <w:t>94.68</w:t>
            </w:r>
          </w:p>
        </w:tc>
        <w:tc>
          <w:tcPr>
            <w:tcW w:w="1497" w:type="dxa"/>
          </w:tcPr>
          <w:p w14:paraId="7C41A57E" w14:textId="77777777" w:rsidR="0055202F" w:rsidRPr="00814236" w:rsidRDefault="0055202F" w:rsidP="00A907D5">
            <w:pPr>
              <w:pStyle w:val="NoSpacing"/>
              <w:spacing w:line="276" w:lineRule="auto"/>
            </w:pPr>
            <w:r w:rsidRPr="00814236">
              <w:t>170</w:t>
            </w:r>
          </w:p>
        </w:tc>
        <w:tc>
          <w:tcPr>
            <w:tcW w:w="1977" w:type="dxa"/>
          </w:tcPr>
          <w:p w14:paraId="7D76D6B8" w14:textId="77777777" w:rsidR="0055202F" w:rsidRPr="00814236" w:rsidRDefault="0055202F" w:rsidP="00A907D5">
            <w:pPr>
              <w:pStyle w:val="NoSpacing"/>
              <w:spacing w:line="276" w:lineRule="auto"/>
            </w:pPr>
            <w:r w:rsidRPr="00814236">
              <w:t>16.38</w:t>
            </w:r>
          </w:p>
        </w:tc>
      </w:tr>
      <w:tr w:rsidR="0055202F" w:rsidRPr="00814236" w14:paraId="3EFBB29F" w14:textId="77777777" w:rsidTr="00A907D5">
        <w:tc>
          <w:tcPr>
            <w:tcW w:w="1276" w:type="dxa"/>
          </w:tcPr>
          <w:p w14:paraId="662C53A4" w14:textId="77777777" w:rsidR="0055202F" w:rsidRPr="00814236" w:rsidRDefault="0055202F" w:rsidP="00A907D5">
            <w:pPr>
              <w:pStyle w:val="NoSpacing"/>
              <w:spacing w:line="276" w:lineRule="auto"/>
            </w:pPr>
            <w:r w:rsidRPr="00814236">
              <w:t>March</w:t>
            </w:r>
          </w:p>
        </w:tc>
        <w:tc>
          <w:tcPr>
            <w:tcW w:w="1014" w:type="dxa"/>
          </w:tcPr>
          <w:p w14:paraId="4D919E62" w14:textId="77777777" w:rsidR="0055202F" w:rsidRPr="00814236" w:rsidRDefault="0055202F" w:rsidP="00A907D5">
            <w:pPr>
              <w:pStyle w:val="NoSpacing"/>
              <w:spacing w:line="276" w:lineRule="auto"/>
            </w:pPr>
            <w:r w:rsidRPr="00814236">
              <w:t>126.40</w:t>
            </w:r>
          </w:p>
        </w:tc>
        <w:tc>
          <w:tcPr>
            <w:tcW w:w="1277" w:type="dxa"/>
          </w:tcPr>
          <w:p w14:paraId="6675ED57" w14:textId="77777777" w:rsidR="0055202F" w:rsidRPr="00814236" w:rsidRDefault="0055202F" w:rsidP="00A907D5">
            <w:pPr>
              <w:pStyle w:val="NoSpacing"/>
              <w:spacing w:line="276" w:lineRule="auto"/>
            </w:pPr>
            <w:r w:rsidRPr="00814236">
              <w:t>234.40</w:t>
            </w:r>
          </w:p>
        </w:tc>
        <w:tc>
          <w:tcPr>
            <w:tcW w:w="1277" w:type="dxa"/>
          </w:tcPr>
          <w:p w14:paraId="551F1758" w14:textId="77777777" w:rsidR="0055202F" w:rsidRPr="00814236" w:rsidRDefault="0055202F" w:rsidP="00A907D5">
            <w:pPr>
              <w:pStyle w:val="NoSpacing"/>
              <w:spacing w:line="276" w:lineRule="auto"/>
            </w:pPr>
            <w:r w:rsidRPr="00814236">
              <w:t>102.10</w:t>
            </w:r>
          </w:p>
        </w:tc>
        <w:tc>
          <w:tcPr>
            <w:tcW w:w="1497" w:type="dxa"/>
          </w:tcPr>
          <w:p w14:paraId="24CF64A9" w14:textId="77777777" w:rsidR="0055202F" w:rsidRPr="00814236" w:rsidRDefault="0055202F" w:rsidP="00A907D5">
            <w:pPr>
              <w:pStyle w:val="NoSpacing"/>
              <w:spacing w:line="276" w:lineRule="auto"/>
            </w:pPr>
            <w:r w:rsidRPr="00814236">
              <w:t>190.70</w:t>
            </w:r>
          </w:p>
        </w:tc>
        <w:tc>
          <w:tcPr>
            <w:tcW w:w="1977" w:type="dxa"/>
          </w:tcPr>
          <w:p w14:paraId="43556B21" w14:textId="77777777" w:rsidR="0055202F" w:rsidRPr="00814236" w:rsidRDefault="0055202F" w:rsidP="00A907D5">
            <w:pPr>
              <w:pStyle w:val="NoSpacing"/>
              <w:spacing w:line="276" w:lineRule="auto"/>
            </w:pPr>
            <w:r w:rsidRPr="00814236">
              <w:t>19.40</w:t>
            </w:r>
          </w:p>
        </w:tc>
      </w:tr>
      <w:tr w:rsidR="0055202F" w:rsidRPr="00814236" w14:paraId="0AAADCCE" w14:textId="77777777" w:rsidTr="00A907D5">
        <w:tc>
          <w:tcPr>
            <w:tcW w:w="1276" w:type="dxa"/>
          </w:tcPr>
          <w:p w14:paraId="59004B3D" w14:textId="77777777" w:rsidR="0055202F" w:rsidRPr="00814236" w:rsidRDefault="0055202F" w:rsidP="00A907D5">
            <w:pPr>
              <w:pStyle w:val="NoSpacing"/>
              <w:spacing w:line="276" w:lineRule="auto"/>
            </w:pPr>
            <w:r w:rsidRPr="00814236">
              <w:t>April</w:t>
            </w:r>
          </w:p>
        </w:tc>
        <w:tc>
          <w:tcPr>
            <w:tcW w:w="1014" w:type="dxa"/>
          </w:tcPr>
          <w:p w14:paraId="7B5335F4" w14:textId="77777777" w:rsidR="0055202F" w:rsidRPr="00814236" w:rsidRDefault="0055202F" w:rsidP="00A907D5">
            <w:pPr>
              <w:pStyle w:val="NoSpacing"/>
              <w:spacing w:line="276" w:lineRule="auto"/>
            </w:pPr>
            <w:r w:rsidRPr="00814236">
              <w:t>115.9</w:t>
            </w:r>
          </w:p>
        </w:tc>
        <w:tc>
          <w:tcPr>
            <w:tcW w:w="1277" w:type="dxa"/>
          </w:tcPr>
          <w:p w14:paraId="4249C6D4" w14:textId="77777777" w:rsidR="0055202F" w:rsidRPr="00814236" w:rsidRDefault="0055202F" w:rsidP="00A907D5">
            <w:pPr>
              <w:pStyle w:val="NoSpacing"/>
              <w:spacing w:line="276" w:lineRule="auto"/>
            </w:pPr>
            <w:r w:rsidRPr="00814236">
              <w:t>213.20</w:t>
            </w:r>
          </w:p>
        </w:tc>
        <w:tc>
          <w:tcPr>
            <w:tcW w:w="1277" w:type="dxa"/>
          </w:tcPr>
          <w:p w14:paraId="235D9027" w14:textId="77777777" w:rsidR="0055202F" w:rsidRPr="00814236" w:rsidRDefault="0055202F" w:rsidP="00A907D5">
            <w:pPr>
              <w:pStyle w:val="NoSpacing"/>
              <w:spacing w:line="276" w:lineRule="auto"/>
            </w:pPr>
            <w:r w:rsidRPr="00814236">
              <w:t>98.22</w:t>
            </w:r>
          </w:p>
        </w:tc>
        <w:tc>
          <w:tcPr>
            <w:tcW w:w="1497" w:type="dxa"/>
          </w:tcPr>
          <w:p w14:paraId="576FF98A" w14:textId="77777777" w:rsidR="0055202F" w:rsidRPr="00814236" w:rsidRDefault="0055202F" w:rsidP="00A907D5">
            <w:pPr>
              <w:pStyle w:val="NoSpacing"/>
              <w:spacing w:line="276" w:lineRule="auto"/>
            </w:pPr>
            <w:r w:rsidRPr="00814236">
              <w:t>180</w:t>
            </w:r>
          </w:p>
        </w:tc>
        <w:tc>
          <w:tcPr>
            <w:tcW w:w="1977" w:type="dxa"/>
          </w:tcPr>
          <w:p w14:paraId="7DC50702" w14:textId="77777777" w:rsidR="0055202F" w:rsidRPr="00814236" w:rsidRDefault="0055202F" w:rsidP="00A907D5">
            <w:pPr>
              <w:pStyle w:val="NoSpacing"/>
              <w:spacing w:line="276" w:lineRule="auto"/>
            </w:pPr>
            <w:r w:rsidRPr="00814236">
              <w:t>15.52</w:t>
            </w:r>
          </w:p>
        </w:tc>
      </w:tr>
      <w:tr w:rsidR="0055202F" w:rsidRPr="00814236" w14:paraId="16913DEF" w14:textId="77777777" w:rsidTr="00A907D5">
        <w:tc>
          <w:tcPr>
            <w:tcW w:w="1276" w:type="dxa"/>
          </w:tcPr>
          <w:p w14:paraId="57E56EBA" w14:textId="77777777" w:rsidR="0055202F" w:rsidRPr="00814236" w:rsidRDefault="0055202F" w:rsidP="00A907D5">
            <w:pPr>
              <w:pStyle w:val="NoSpacing"/>
              <w:spacing w:line="276" w:lineRule="auto"/>
            </w:pPr>
            <w:r w:rsidRPr="00814236">
              <w:t>May</w:t>
            </w:r>
          </w:p>
        </w:tc>
        <w:tc>
          <w:tcPr>
            <w:tcW w:w="1014" w:type="dxa"/>
          </w:tcPr>
          <w:p w14:paraId="17D5AFA3" w14:textId="77777777" w:rsidR="0055202F" w:rsidRPr="00814236" w:rsidRDefault="0055202F" w:rsidP="00A907D5">
            <w:pPr>
              <w:pStyle w:val="NoSpacing"/>
              <w:spacing w:line="276" w:lineRule="auto"/>
            </w:pPr>
            <w:r w:rsidRPr="00814236">
              <w:t>90.61</w:t>
            </w:r>
          </w:p>
        </w:tc>
        <w:tc>
          <w:tcPr>
            <w:tcW w:w="1277" w:type="dxa"/>
          </w:tcPr>
          <w:p w14:paraId="7BBFC06D" w14:textId="77777777" w:rsidR="0055202F" w:rsidRPr="00814236" w:rsidRDefault="0055202F" w:rsidP="00A907D5">
            <w:pPr>
              <w:pStyle w:val="NoSpacing"/>
              <w:spacing w:line="276" w:lineRule="auto"/>
            </w:pPr>
            <w:r w:rsidRPr="00814236">
              <w:t>166.20</w:t>
            </w:r>
          </w:p>
        </w:tc>
        <w:tc>
          <w:tcPr>
            <w:tcW w:w="1277" w:type="dxa"/>
          </w:tcPr>
          <w:p w14:paraId="064608FE" w14:textId="77777777" w:rsidR="0055202F" w:rsidRPr="00814236" w:rsidRDefault="0055202F" w:rsidP="00A907D5">
            <w:pPr>
              <w:pStyle w:val="NoSpacing"/>
              <w:spacing w:line="276" w:lineRule="auto"/>
            </w:pPr>
            <w:r w:rsidRPr="00814236">
              <w:t>90.71</w:t>
            </w:r>
          </w:p>
        </w:tc>
        <w:tc>
          <w:tcPr>
            <w:tcW w:w="1497" w:type="dxa"/>
          </w:tcPr>
          <w:p w14:paraId="47D3A142" w14:textId="77777777" w:rsidR="0055202F" w:rsidRPr="00814236" w:rsidRDefault="0055202F" w:rsidP="00A907D5">
            <w:pPr>
              <w:pStyle w:val="NoSpacing"/>
              <w:spacing w:line="276" w:lineRule="auto"/>
            </w:pPr>
            <w:r w:rsidRPr="00814236">
              <w:t>165</w:t>
            </w:r>
          </w:p>
        </w:tc>
        <w:tc>
          <w:tcPr>
            <w:tcW w:w="1977" w:type="dxa"/>
          </w:tcPr>
          <w:p w14:paraId="1CDE4888" w14:textId="77777777" w:rsidR="0055202F" w:rsidRPr="00814236" w:rsidRDefault="0055202F" w:rsidP="00A907D5">
            <w:pPr>
              <w:pStyle w:val="NoSpacing"/>
              <w:spacing w:line="276" w:lineRule="auto"/>
            </w:pPr>
            <w:r w:rsidRPr="00814236">
              <w:t>1.3</w:t>
            </w:r>
          </w:p>
        </w:tc>
      </w:tr>
      <w:tr w:rsidR="0055202F" w:rsidRPr="00814236" w14:paraId="437F5EDE" w14:textId="77777777" w:rsidTr="00A907D5">
        <w:tc>
          <w:tcPr>
            <w:tcW w:w="1276" w:type="dxa"/>
          </w:tcPr>
          <w:p w14:paraId="5D01B9F6" w14:textId="77777777" w:rsidR="0055202F" w:rsidRPr="00814236" w:rsidRDefault="0055202F" w:rsidP="00A907D5">
            <w:pPr>
              <w:pStyle w:val="NoSpacing"/>
              <w:spacing w:line="276" w:lineRule="auto"/>
            </w:pPr>
            <w:r w:rsidRPr="00814236">
              <w:t>June</w:t>
            </w:r>
          </w:p>
        </w:tc>
        <w:tc>
          <w:tcPr>
            <w:tcW w:w="1014" w:type="dxa"/>
          </w:tcPr>
          <w:p w14:paraId="2647FECA" w14:textId="77777777" w:rsidR="0055202F" w:rsidRPr="00814236" w:rsidRDefault="0055202F" w:rsidP="00A907D5">
            <w:pPr>
              <w:pStyle w:val="NoSpacing"/>
              <w:spacing w:line="276" w:lineRule="auto"/>
            </w:pPr>
            <w:r w:rsidRPr="00814236">
              <w:t>111.10</w:t>
            </w:r>
          </w:p>
        </w:tc>
        <w:tc>
          <w:tcPr>
            <w:tcW w:w="1277" w:type="dxa"/>
          </w:tcPr>
          <w:p w14:paraId="33065EDB" w14:textId="77777777" w:rsidR="0055202F" w:rsidRPr="00814236" w:rsidRDefault="0055202F" w:rsidP="00A907D5">
            <w:pPr>
              <w:pStyle w:val="NoSpacing"/>
              <w:spacing w:line="276" w:lineRule="auto"/>
            </w:pPr>
            <w:r w:rsidRPr="00814236">
              <w:t>199.20</w:t>
            </w:r>
          </w:p>
        </w:tc>
        <w:tc>
          <w:tcPr>
            <w:tcW w:w="1277" w:type="dxa"/>
          </w:tcPr>
          <w:p w14:paraId="1671B860" w14:textId="77777777" w:rsidR="0055202F" w:rsidRPr="00814236" w:rsidRDefault="0055202F" w:rsidP="00A907D5">
            <w:pPr>
              <w:pStyle w:val="NoSpacing"/>
              <w:spacing w:line="276" w:lineRule="auto"/>
            </w:pPr>
            <w:r w:rsidRPr="00814236">
              <w:t>95.45</w:t>
            </w:r>
          </w:p>
        </w:tc>
        <w:tc>
          <w:tcPr>
            <w:tcW w:w="1497" w:type="dxa"/>
          </w:tcPr>
          <w:p w14:paraId="23BAF2EC" w14:textId="77777777" w:rsidR="0055202F" w:rsidRPr="00814236" w:rsidRDefault="0055202F" w:rsidP="00A907D5">
            <w:pPr>
              <w:pStyle w:val="NoSpacing"/>
              <w:spacing w:line="276" w:lineRule="auto"/>
            </w:pPr>
            <w:r w:rsidRPr="00814236">
              <w:t>174.20</w:t>
            </w:r>
          </w:p>
        </w:tc>
        <w:tc>
          <w:tcPr>
            <w:tcW w:w="1977" w:type="dxa"/>
          </w:tcPr>
          <w:p w14:paraId="56061C7A" w14:textId="77777777" w:rsidR="0055202F" w:rsidRPr="00814236" w:rsidRDefault="0055202F" w:rsidP="00A907D5">
            <w:pPr>
              <w:pStyle w:val="NoSpacing"/>
              <w:spacing w:line="276" w:lineRule="auto"/>
            </w:pPr>
            <w:r w:rsidRPr="00814236">
              <w:t>9.35</w:t>
            </w:r>
          </w:p>
        </w:tc>
      </w:tr>
      <w:tr w:rsidR="0055202F" w:rsidRPr="00814236" w14:paraId="37F9EFA4" w14:textId="77777777" w:rsidTr="00A907D5">
        <w:tc>
          <w:tcPr>
            <w:tcW w:w="1276" w:type="dxa"/>
          </w:tcPr>
          <w:p w14:paraId="08674FBB" w14:textId="77777777" w:rsidR="0055202F" w:rsidRPr="00814236" w:rsidRDefault="0055202F" w:rsidP="00A907D5">
            <w:pPr>
              <w:pStyle w:val="NoSpacing"/>
              <w:spacing w:line="276" w:lineRule="auto"/>
            </w:pPr>
            <w:r w:rsidRPr="00814236">
              <w:t>July</w:t>
            </w:r>
          </w:p>
        </w:tc>
        <w:tc>
          <w:tcPr>
            <w:tcW w:w="1014" w:type="dxa"/>
          </w:tcPr>
          <w:p w14:paraId="7E6A6DAE" w14:textId="77777777" w:rsidR="0055202F" w:rsidRPr="00814236" w:rsidRDefault="0055202F" w:rsidP="00A907D5">
            <w:pPr>
              <w:pStyle w:val="NoSpacing"/>
              <w:spacing w:line="276" w:lineRule="auto"/>
            </w:pPr>
            <w:r w:rsidRPr="00814236">
              <w:t>122.10</w:t>
            </w:r>
          </w:p>
        </w:tc>
        <w:tc>
          <w:tcPr>
            <w:tcW w:w="1277" w:type="dxa"/>
          </w:tcPr>
          <w:p w14:paraId="53FEA79E" w14:textId="77777777" w:rsidR="0055202F" w:rsidRPr="00814236" w:rsidRDefault="0055202F" w:rsidP="00A907D5">
            <w:pPr>
              <w:pStyle w:val="NoSpacing"/>
              <w:spacing w:line="276" w:lineRule="auto"/>
            </w:pPr>
            <w:r w:rsidRPr="00814236">
              <w:t>229.00</w:t>
            </w:r>
          </w:p>
        </w:tc>
        <w:tc>
          <w:tcPr>
            <w:tcW w:w="1277" w:type="dxa"/>
          </w:tcPr>
          <w:p w14:paraId="6B713887" w14:textId="77777777" w:rsidR="0055202F" w:rsidRPr="00814236" w:rsidRDefault="0055202F" w:rsidP="00A907D5">
            <w:pPr>
              <w:pStyle w:val="NoSpacing"/>
              <w:spacing w:line="276" w:lineRule="auto"/>
            </w:pPr>
            <w:r w:rsidRPr="00814236">
              <w:t>102.20</w:t>
            </w:r>
          </w:p>
        </w:tc>
        <w:tc>
          <w:tcPr>
            <w:tcW w:w="1497" w:type="dxa"/>
          </w:tcPr>
          <w:p w14:paraId="719294F7" w14:textId="77777777" w:rsidR="0055202F" w:rsidRPr="00814236" w:rsidRDefault="0055202F" w:rsidP="00A907D5">
            <w:pPr>
              <w:pStyle w:val="NoSpacing"/>
              <w:spacing w:line="276" w:lineRule="auto"/>
            </w:pPr>
            <w:r w:rsidRPr="00814236">
              <w:t>192.60</w:t>
            </w:r>
          </w:p>
        </w:tc>
        <w:tc>
          <w:tcPr>
            <w:tcW w:w="1977" w:type="dxa"/>
          </w:tcPr>
          <w:p w14:paraId="1F69C6BC" w14:textId="77777777" w:rsidR="0055202F" w:rsidRPr="00814236" w:rsidRDefault="0055202F" w:rsidP="00A907D5">
            <w:pPr>
              <w:pStyle w:val="NoSpacing"/>
              <w:spacing w:line="276" w:lineRule="auto"/>
            </w:pPr>
            <w:r w:rsidRPr="00814236">
              <w:t>16.50</w:t>
            </w:r>
          </w:p>
        </w:tc>
      </w:tr>
      <w:tr w:rsidR="0055202F" w:rsidRPr="00814236" w14:paraId="289B79E4" w14:textId="77777777" w:rsidTr="00A907D5">
        <w:tc>
          <w:tcPr>
            <w:tcW w:w="1276" w:type="dxa"/>
          </w:tcPr>
          <w:p w14:paraId="0A6B3C26" w14:textId="77777777" w:rsidR="0055202F" w:rsidRPr="00814236" w:rsidRDefault="0055202F" w:rsidP="00A907D5">
            <w:pPr>
              <w:pStyle w:val="NoSpacing"/>
              <w:spacing w:line="276" w:lineRule="auto"/>
            </w:pPr>
            <w:r w:rsidRPr="00814236">
              <w:t>August</w:t>
            </w:r>
          </w:p>
        </w:tc>
        <w:tc>
          <w:tcPr>
            <w:tcW w:w="1014" w:type="dxa"/>
          </w:tcPr>
          <w:p w14:paraId="4EEF41EA" w14:textId="77777777" w:rsidR="0055202F" w:rsidRPr="00814236" w:rsidRDefault="0055202F" w:rsidP="00A907D5">
            <w:pPr>
              <w:pStyle w:val="NoSpacing"/>
              <w:spacing w:line="276" w:lineRule="auto"/>
            </w:pPr>
            <w:r w:rsidRPr="00814236">
              <w:t>109.00</w:t>
            </w:r>
          </w:p>
        </w:tc>
        <w:tc>
          <w:tcPr>
            <w:tcW w:w="1277" w:type="dxa"/>
          </w:tcPr>
          <w:p w14:paraId="4BC08C1E" w14:textId="77777777" w:rsidR="0055202F" w:rsidRPr="00814236" w:rsidRDefault="0055202F" w:rsidP="00A907D5">
            <w:pPr>
              <w:pStyle w:val="NoSpacing"/>
              <w:spacing w:line="276" w:lineRule="auto"/>
            </w:pPr>
            <w:r w:rsidRPr="00814236">
              <w:t>202.20</w:t>
            </w:r>
          </w:p>
        </w:tc>
        <w:tc>
          <w:tcPr>
            <w:tcW w:w="1277" w:type="dxa"/>
          </w:tcPr>
          <w:p w14:paraId="34CC3A22" w14:textId="77777777" w:rsidR="0055202F" w:rsidRPr="00814236" w:rsidRDefault="0055202F" w:rsidP="00A907D5">
            <w:pPr>
              <w:pStyle w:val="NoSpacing"/>
              <w:spacing w:line="276" w:lineRule="auto"/>
            </w:pPr>
            <w:r w:rsidRPr="00814236">
              <w:t>98</w:t>
            </w:r>
          </w:p>
        </w:tc>
        <w:tc>
          <w:tcPr>
            <w:tcW w:w="1497" w:type="dxa"/>
          </w:tcPr>
          <w:p w14:paraId="19DEFF06" w14:textId="77777777" w:rsidR="0055202F" w:rsidRPr="00814236" w:rsidRDefault="0055202F" w:rsidP="00A907D5">
            <w:pPr>
              <w:pStyle w:val="NoSpacing"/>
              <w:spacing w:line="276" w:lineRule="auto"/>
            </w:pPr>
            <w:r w:rsidRPr="00814236">
              <w:t>181.70</w:t>
            </w:r>
          </w:p>
        </w:tc>
        <w:tc>
          <w:tcPr>
            <w:tcW w:w="1977" w:type="dxa"/>
          </w:tcPr>
          <w:p w14:paraId="1AEA4666" w14:textId="77777777" w:rsidR="0055202F" w:rsidRPr="00814236" w:rsidRDefault="0055202F" w:rsidP="00A907D5">
            <w:pPr>
              <w:pStyle w:val="NoSpacing"/>
              <w:spacing w:line="276" w:lineRule="auto"/>
            </w:pPr>
            <w:r w:rsidRPr="00814236">
              <w:t>9.50</w:t>
            </w:r>
          </w:p>
        </w:tc>
      </w:tr>
      <w:tr w:rsidR="0055202F" w:rsidRPr="00814236" w14:paraId="5961EA68" w14:textId="77777777" w:rsidTr="00A907D5">
        <w:tc>
          <w:tcPr>
            <w:tcW w:w="1276" w:type="dxa"/>
          </w:tcPr>
          <w:p w14:paraId="6F9FFA90" w14:textId="77777777" w:rsidR="0055202F" w:rsidRPr="00814236" w:rsidRDefault="0055202F" w:rsidP="00A907D5">
            <w:pPr>
              <w:pStyle w:val="NoSpacing"/>
              <w:spacing w:line="276" w:lineRule="auto"/>
            </w:pPr>
            <w:r w:rsidRPr="00814236">
              <w:t>September</w:t>
            </w:r>
          </w:p>
        </w:tc>
        <w:tc>
          <w:tcPr>
            <w:tcW w:w="1014" w:type="dxa"/>
          </w:tcPr>
          <w:p w14:paraId="675C653D" w14:textId="77777777" w:rsidR="0055202F" w:rsidRPr="00814236" w:rsidRDefault="0055202F" w:rsidP="00A907D5">
            <w:pPr>
              <w:pStyle w:val="NoSpacing"/>
              <w:spacing w:line="276" w:lineRule="auto"/>
            </w:pPr>
            <w:r w:rsidRPr="00814236">
              <w:t>111.70</w:t>
            </w:r>
          </w:p>
        </w:tc>
        <w:tc>
          <w:tcPr>
            <w:tcW w:w="1277" w:type="dxa"/>
          </w:tcPr>
          <w:p w14:paraId="5EA4C9F9" w14:textId="77777777" w:rsidR="0055202F" w:rsidRPr="00814236" w:rsidRDefault="0055202F" w:rsidP="00A907D5">
            <w:pPr>
              <w:pStyle w:val="NoSpacing"/>
              <w:spacing w:line="276" w:lineRule="auto"/>
            </w:pPr>
            <w:r w:rsidRPr="00814236">
              <w:t>205.30</w:t>
            </w:r>
          </w:p>
        </w:tc>
        <w:tc>
          <w:tcPr>
            <w:tcW w:w="1277" w:type="dxa"/>
          </w:tcPr>
          <w:p w14:paraId="72E5361D" w14:textId="77777777" w:rsidR="0055202F" w:rsidRPr="00814236" w:rsidRDefault="0055202F" w:rsidP="00A907D5">
            <w:pPr>
              <w:pStyle w:val="NoSpacing"/>
              <w:spacing w:line="276" w:lineRule="auto"/>
            </w:pPr>
            <w:r w:rsidRPr="00814236">
              <w:t>96.52</w:t>
            </w:r>
          </w:p>
        </w:tc>
        <w:tc>
          <w:tcPr>
            <w:tcW w:w="1497" w:type="dxa"/>
          </w:tcPr>
          <w:p w14:paraId="5E59DC83" w14:textId="77777777" w:rsidR="0055202F" w:rsidRPr="00814236" w:rsidRDefault="0055202F" w:rsidP="00A907D5">
            <w:pPr>
              <w:pStyle w:val="NoSpacing"/>
              <w:spacing w:line="276" w:lineRule="auto"/>
            </w:pPr>
            <w:r w:rsidRPr="00814236">
              <w:t>175.90</w:t>
            </w:r>
          </w:p>
        </w:tc>
        <w:tc>
          <w:tcPr>
            <w:tcW w:w="1977" w:type="dxa"/>
          </w:tcPr>
          <w:p w14:paraId="386D6FAC" w14:textId="77777777" w:rsidR="0055202F" w:rsidRPr="00814236" w:rsidRDefault="0055202F" w:rsidP="00A907D5">
            <w:pPr>
              <w:pStyle w:val="NoSpacing"/>
              <w:spacing w:line="276" w:lineRule="auto"/>
            </w:pPr>
            <w:r w:rsidRPr="00814236">
              <w:t>14.22</w:t>
            </w:r>
          </w:p>
        </w:tc>
      </w:tr>
      <w:tr w:rsidR="0055202F" w:rsidRPr="00814236" w14:paraId="79465E5D" w14:textId="77777777" w:rsidTr="00A907D5">
        <w:tc>
          <w:tcPr>
            <w:tcW w:w="1276" w:type="dxa"/>
          </w:tcPr>
          <w:p w14:paraId="1C6A7837" w14:textId="77777777" w:rsidR="0055202F" w:rsidRPr="00814236" w:rsidRDefault="0055202F" w:rsidP="00A907D5">
            <w:pPr>
              <w:pStyle w:val="NoSpacing"/>
              <w:spacing w:line="276" w:lineRule="auto"/>
            </w:pPr>
            <w:r w:rsidRPr="00814236">
              <w:t>October</w:t>
            </w:r>
          </w:p>
        </w:tc>
        <w:tc>
          <w:tcPr>
            <w:tcW w:w="1014" w:type="dxa"/>
          </w:tcPr>
          <w:p w14:paraId="3B92A70E" w14:textId="77777777" w:rsidR="0055202F" w:rsidRPr="00814236" w:rsidRDefault="0055202F" w:rsidP="00A907D5">
            <w:pPr>
              <w:pStyle w:val="NoSpacing"/>
              <w:spacing w:line="276" w:lineRule="auto"/>
            </w:pPr>
            <w:r w:rsidRPr="00814236">
              <w:t>109.90</w:t>
            </w:r>
          </w:p>
        </w:tc>
        <w:tc>
          <w:tcPr>
            <w:tcW w:w="1277" w:type="dxa"/>
          </w:tcPr>
          <w:p w14:paraId="041F8C19" w14:textId="77777777" w:rsidR="0055202F" w:rsidRPr="00814236" w:rsidRDefault="0055202F" w:rsidP="00A907D5">
            <w:pPr>
              <w:pStyle w:val="NoSpacing"/>
              <w:spacing w:line="276" w:lineRule="auto"/>
            </w:pPr>
            <w:r w:rsidRPr="00814236">
              <w:t>203.50</w:t>
            </w:r>
          </w:p>
        </w:tc>
        <w:tc>
          <w:tcPr>
            <w:tcW w:w="1277" w:type="dxa"/>
          </w:tcPr>
          <w:p w14:paraId="494E3D8C" w14:textId="77777777" w:rsidR="0055202F" w:rsidRPr="00814236" w:rsidRDefault="0055202F" w:rsidP="00A907D5">
            <w:pPr>
              <w:pStyle w:val="NoSpacing"/>
              <w:spacing w:line="276" w:lineRule="auto"/>
            </w:pPr>
            <w:r w:rsidRPr="00814236">
              <w:t>100.30</w:t>
            </w:r>
          </w:p>
        </w:tc>
        <w:tc>
          <w:tcPr>
            <w:tcW w:w="1497" w:type="dxa"/>
          </w:tcPr>
          <w:p w14:paraId="599C12FA" w14:textId="77777777" w:rsidR="0055202F" w:rsidRPr="00814236" w:rsidRDefault="0055202F" w:rsidP="00A907D5">
            <w:pPr>
              <w:pStyle w:val="NoSpacing"/>
              <w:spacing w:line="276" w:lineRule="auto"/>
            </w:pPr>
            <w:r w:rsidRPr="00814236">
              <w:t>184.60</w:t>
            </w:r>
          </w:p>
        </w:tc>
        <w:tc>
          <w:tcPr>
            <w:tcW w:w="1977" w:type="dxa"/>
          </w:tcPr>
          <w:p w14:paraId="5390E8F8" w14:textId="77777777" w:rsidR="0055202F" w:rsidRPr="00814236" w:rsidRDefault="0055202F" w:rsidP="00A907D5">
            <w:pPr>
              <w:pStyle w:val="NoSpacing"/>
              <w:spacing w:line="276" w:lineRule="auto"/>
            </w:pPr>
            <w:r w:rsidRPr="00814236">
              <w:t>9.3</w:t>
            </w:r>
          </w:p>
        </w:tc>
      </w:tr>
      <w:tr w:rsidR="0055202F" w:rsidRPr="00814236" w14:paraId="5DB35418" w14:textId="77777777" w:rsidTr="00A907D5">
        <w:tc>
          <w:tcPr>
            <w:tcW w:w="1276" w:type="dxa"/>
          </w:tcPr>
          <w:p w14:paraId="1B9F01AF" w14:textId="77777777" w:rsidR="0055202F" w:rsidRPr="00814236" w:rsidRDefault="0055202F" w:rsidP="00A907D5">
            <w:pPr>
              <w:pStyle w:val="NoSpacing"/>
              <w:spacing w:line="276" w:lineRule="auto"/>
            </w:pPr>
            <w:r w:rsidRPr="00814236">
              <w:t>November</w:t>
            </w:r>
          </w:p>
        </w:tc>
        <w:tc>
          <w:tcPr>
            <w:tcW w:w="1014" w:type="dxa"/>
          </w:tcPr>
          <w:p w14:paraId="3E105FA1" w14:textId="77777777" w:rsidR="0055202F" w:rsidRPr="00814236" w:rsidRDefault="0055202F" w:rsidP="00A907D5">
            <w:pPr>
              <w:pStyle w:val="NoSpacing"/>
              <w:spacing w:line="276" w:lineRule="auto"/>
            </w:pPr>
            <w:r w:rsidRPr="00814236">
              <w:t>85.94</w:t>
            </w:r>
          </w:p>
        </w:tc>
        <w:tc>
          <w:tcPr>
            <w:tcW w:w="1277" w:type="dxa"/>
          </w:tcPr>
          <w:p w14:paraId="15318127" w14:textId="77777777" w:rsidR="0055202F" w:rsidRPr="00814236" w:rsidRDefault="0055202F" w:rsidP="00A907D5">
            <w:pPr>
              <w:pStyle w:val="NoSpacing"/>
              <w:spacing w:line="276" w:lineRule="auto"/>
            </w:pPr>
            <w:r w:rsidRPr="00814236">
              <w:t>155.50</w:t>
            </w:r>
          </w:p>
        </w:tc>
        <w:tc>
          <w:tcPr>
            <w:tcW w:w="1277" w:type="dxa"/>
          </w:tcPr>
          <w:p w14:paraId="27346A98" w14:textId="77777777" w:rsidR="0055202F" w:rsidRPr="00814236" w:rsidRDefault="0055202F" w:rsidP="00A907D5">
            <w:pPr>
              <w:pStyle w:val="NoSpacing"/>
              <w:spacing w:line="276" w:lineRule="auto"/>
            </w:pPr>
            <w:r w:rsidRPr="00814236">
              <w:t>86.23</w:t>
            </w:r>
          </w:p>
        </w:tc>
        <w:tc>
          <w:tcPr>
            <w:tcW w:w="1497" w:type="dxa"/>
          </w:tcPr>
          <w:p w14:paraId="20EA1041" w14:textId="77777777" w:rsidR="0055202F" w:rsidRPr="00814236" w:rsidRDefault="0055202F" w:rsidP="00A907D5">
            <w:pPr>
              <w:pStyle w:val="NoSpacing"/>
              <w:spacing w:line="276" w:lineRule="auto"/>
            </w:pPr>
            <w:r w:rsidRPr="00814236">
              <w:t>158.50</w:t>
            </w:r>
          </w:p>
        </w:tc>
        <w:tc>
          <w:tcPr>
            <w:tcW w:w="1977" w:type="dxa"/>
          </w:tcPr>
          <w:p w14:paraId="4E7E4895" w14:textId="77777777" w:rsidR="0055202F" w:rsidRPr="00814236" w:rsidRDefault="0055202F" w:rsidP="00A907D5">
            <w:pPr>
              <w:pStyle w:val="NoSpacing"/>
              <w:spacing w:line="276" w:lineRule="auto"/>
            </w:pPr>
            <w:r w:rsidRPr="00814236">
              <w:t>-2.71</w:t>
            </w:r>
          </w:p>
        </w:tc>
      </w:tr>
      <w:tr w:rsidR="0055202F" w:rsidRPr="00814236" w14:paraId="1D32B375" w14:textId="77777777" w:rsidTr="00A907D5">
        <w:tc>
          <w:tcPr>
            <w:tcW w:w="1276" w:type="dxa"/>
            <w:tcBorders>
              <w:bottom w:val="single" w:sz="4" w:space="0" w:color="auto"/>
            </w:tcBorders>
          </w:tcPr>
          <w:p w14:paraId="43AE0000" w14:textId="77777777" w:rsidR="0055202F" w:rsidRPr="00814236" w:rsidRDefault="0055202F" w:rsidP="00A907D5">
            <w:pPr>
              <w:pStyle w:val="NoSpacing"/>
              <w:spacing w:line="276" w:lineRule="auto"/>
            </w:pPr>
            <w:r w:rsidRPr="00814236">
              <w:t>December</w:t>
            </w:r>
          </w:p>
        </w:tc>
        <w:tc>
          <w:tcPr>
            <w:tcW w:w="1014" w:type="dxa"/>
            <w:tcBorders>
              <w:bottom w:val="single" w:sz="4" w:space="0" w:color="auto"/>
            </w:tcBorders>
          </w:tcPr>
          <w:p w14:paraId="0542CD54" w14:textId="77777777" w:rsidR="0055202F" w:rsidRPr="00814236" w:rsidRDefault="0055202F" w:rsidP="00A907D5">
            <w:pPr>
              <w:pStyle w:val="NoSpacing"/>
              <w:spacing w:line="276" w:lineRule="auto"/>
            </w:pPr>
            <w:r w:rsidRPr="00814236">
              <w:t>94.85</w:t>
            </w:r>
          </w:p>
        </w:tc>
        <w:tc>
          <w:tcPr>
            <w:tcW w:w="1277" w:type="dxa"/>
            <w:tcBorders>
              <w:bottom w:val="single" w:sz="4" w:space="0" w:color="auto"/>
            </w:tcBorders>
          </w:tcPr>
          <w:p w14:paraId="6ECBD45F" w14:textId="77777777" w:rsidR="0055202F" w:rsidRPr="00814236" w:rsidRDefault="0055202F" w:rsidP="00A907D5">
            <w:pPr>
              <w:pStyle w:val="NoSpacing"/>
              <w:spacing w:line="276" w:lineRule="auto"/>
            </w:pPr>
            <w:r w:rsidRPr="00814236">
              <w:t>165.90</w:t>
            </w:r>
          </w:p>
        </w:tc>
        <w:tc>
          <w:tcPr>
            <w:tcW w:w="1277" w:type="dxa"/>
            <w:tcBorders>
              <w:bottom w:val="single" w:sz="4" w:space="0" w:color="auto"/>
            </w:tcBorders>
          </w:tcPr>
          <w:p w14:paraId="1C9F3DF2" w14:textId="77777777" w:rsidR="0055202F" w:rsidRPr="00814236" w:rsidRDefault="0055202F" w:rsidP="00A907D5">
            <w:pPr>
              <w:pStyle w:val="NoSpacing"/>
              <w:spacing w:line="276" w:lineRule="auto"/>
            </w:pPr>
            <w:r w:rsidRPr="00814236">
              <w:t>83.97</w:t>
            </w:r>
          </w:p>
        </w:tc>
        <w:tc>
          <w:tcPr>
            <w:tcW w:w="1497" w:type="dxa"/>
            <w:tcBorders>
              <w:bottom w:val="single" w:sz="4" w:space="0" w:color="auto"/>
            </w:tcBorders>
          </w:tcPr>
          <w:p w14:paraId="24182317" w14:textId="77777777" w:rsidR="0055202F" w:rsidRPr="00814236" w:rsidRDefault="0055202F" w:rsidP="00A907D5">
            <w:pPr>
              <w:pStyle w:val="NoSpacing"/>
              <w:spacing w:line="276" w:lineRule="auto"/>
            </w:pPr>
            <w:r w:rsidRPr="00814236">
              <w:t>148</w:t>
            </w:r>
          </w:p>
        </w:tc>
        <w:tc>
          <w:tcPr>
            <w:tcW w:w="1977" w:type="dxa"/>
            <w:tcBorders>
              <w:bottom w:val="single" w:sz="4" w:space="0" w:color="auto"/>
            </w:tcBorders>
          </w:tcPr>
          <w:p w14:paraId="4D06E958" w14:textId="77777777" w:rsidR="0055202F" w:rsidRPr="00814236" w:rsidRDefault="0055202F" w:rsidP="00A907D5">
            <w:pPr>
              <w:pStyle w:val="NoSpacing"/>
              <w:spacing w:line="276" w:lineRule="auto"/>
            </w:pPr>
            <w:r w:rsidRPr="00814236">
              <w:t>7.02</w:t>
            </w:r>
          </w:p>
        </w:tc>
      </w:tr>
      <w:tr w:rsidR="0055202F" w:rsidRPr="00814236" w14:paraId="1F56469F" w14:textId="77777777" w:rsidTr="00A907D5">
        <w:tc>
          <w:tcPr>
            <w:tcW w:w="1276" w:type="dxa"/>
            <w:tcBorders>
              <w:top w:val="single" w:sz="4" w:space="0" w:color="auto"/>
              <w:bottom w:val="single" w:sz="4" w:space="0" w:color="auto"/>
            </w:tcBorders>
          </w:tcPr>
          <w:p w14:paraId="3D1B44DA" w14:textId="77777777" w:rsidR="0055202F" w:rsidRPr="00814236" w:rsidRDefault="0055202F" w:rsidP="00AA7258">
            <w:pPr>
              <w:jc w:val="center"/>
              <w:rPr>
                <w:rFonts w:cs="Times New Roman"/>
                <w:b/>
                <w:sz w:val="22"/>
              </w:rPr>
            </w:pPr>
            <w:r w:rsidRPr="00814236">
              <w:rPr>
                <w:rFonts w:cs="Times New Roman"/>
                <w:b/>
                <w:sz w:val="22"/>
              </w:rPr>
              <w:t>Total</w:t>
            </w:r>
          </w:p>
        </w:tc>
        <w:tc>
          <w:tcPr>
            <w:tcW w:w="1014" w:type="dxa"/>
            <w:tcBorders>
              <w:top w:val="single" w:sz="4" w:space="0" w:color="auto"/>
              <w:bottom w:val="single" w:sz="4" w:space="0" w:color="auto"/>
            </w:tcBorders>
          </w:tcPr>
          <w:p w14:paraId="5A2D459F" w14:textId="77777777" w:rsidR="0055202F" w:rsidRPr="00814236" w:rsidRDefault="0055202F" w:rsidP="00A907D5">
            <w:pPr>
              <w:spacing w:line="240" w:lineRule="auto"/>
              <w:jc w:val="center"/>
              <w:rPr>
                <w:rFonts w:cs="Times New Roman"/>
                <w:b/>
                <w:sz w:val="22"/>
              </w:rPr>
            </w:pPr>
            <w:r w:rsidRPr="00814236">
              <w:rPr>
                <w:rFonts w:cs="Times New Roman"/>
                <w:b/>
                <w:sz w:val="22"/>
              </w:rPr>
              <w:t>1288.21</w:t>
            </w:r>
          </w:p>
        </w:tc>
        <w:tc>
          <w:tcPr>
            <w:tcW w:w="1277" w:type="dxa"/>
            <w:tcBorders>
              <w:top w:val="single" w:sz="4" w:space="0" w:color="auto"/>
              <w:bottom w:val="single" w:sz="4" w:space="0" w:color="auto"/>
            </w:tcBorders>
          </w:tcPr>
          <w:p w14:paraId="15D4CA38" w14:textId="77777777" w:rsidR="0055202F" w:rsidRPr="00814236" w:rsidRDefault="0055202F" w:rsidP="00A907D5">
            <w:pPr>
              <w:keepNext/>
              <w:spacing w:line="240" w:lineRule="auto"/>
              <w:jc w:val="center"/>
              <w:rPr>
                <w:rFonts w:cs="Times New Roman"/>
                <w:b/>
                <w:sz w:val="22"/>
              </w:rPr>
            </w:pPr>
            <w:r w:rsidRPr="00814236">
              <w:rPr>
                <w:rFonts w:cs="Times New Roman"/>
                <w:b/>
                <w:sz w:val="22"/>
              </w:rPr>
              <w:t>2350.70</w:t>
            </w:r>
          </w:p>
        </w:tc>
        <w:tc>
          <w:tcPr>
            <w:tcW w:w="1277" w:type="dxa"/>
            <w:tcBorders>
              <w:top w:val="single" w:sz="4" w:space="0" w:color="auto"/>
              <w:bottom w:val="single" w:sz="4" w:space="0" w:color="auto"/>
            </w:tcBorders>
          </w:tcPr>
          <w:p w14:paraId="1F5E7793" w14:textId="77777777" w:rsidR="0055202F" w:rsidRPr="00814236" w:rsidRDefault="0055202F" w:rsidP="00A907D5">
            <w:pPr>
              <w:keepNext/>
              <w:spacing w:line="240" w:lineRule="auto"/>
              <w:jc w:val="center"/>
              <w:rPr>
                <w:rFonts w:cs="Times New Roman"/>
                <w:b/>
                <w:sz w:val="22"/>
              </w:rPr>
            </w:pPr>
            <w:r w:rsidRPr="00814236">
              <w:rPr>
                <w:rFonts w:cs="Times New Roman"/>
                <w:b/>
                <w:sz w:val="22"/>
              </w:rPr>
              <w:t>1132.75</w:t>
            </w:r>
          </w:p>
        </w:tc>
        <w:tc>
          <w:tcPr>
            <w:tcW w:w="1497" w:type="dxa"/>
            <w:tcBorders>
              <w:top w:val="single" w:sz="4" w:space="0" w:color="auto"/>
              <w:bottom w:val="single" w:sz="4" w:space="0" w:color="auto"/>
            </w:tcBorders>
          </w:tcPr>
          <w:p w14:paraId="061E02D8" w14:textId="77777777" w:rsidR="0055202F" w:rsidRPr="00814236" w:rsidRDefault="0055202F" w:rsidP="00A907D5">
            <w:pPr>
              <w:keepNext/>
              <w:spacing w:line="240" w:lineRule="auto"/>
              <w:jc w:val="center"/>
              <w:rPr>
                <w:rFonts w:cs="Times New Roman"/>
                <w:b/>
                <w:sz w:val="22"/>
              </w:rPr>
            </w:pPr>
            <w:r w:rsidRPr="00814236">
              <w:rPr>
                <w:rFonts w:cs="Times New Roman"/>
                <w:b/>
                <w:sz w:val="22"/>
              </w:rPr>
              <w:t>2078.60</w:t>
            </w:r>
          </w:p>
        </w:tc>
        <w:tc>
          <w:tcPr>
            <w:tcW w:w="1977" w:type="dxa"/>
            <w:tcBorders>
              <w:top w:val="single" w:sz="4" w:space="0" w:color="auto"/>
              <w:bottom w:val="single" w:sz="4" w:space="0" w:color="auto"/>
            </w:tcBorders>
          </w:tcPr>
          <w:p w14:paraId="485FD409" w14:textId="77777777" w:rsidR="0055202F" w:rsidRPr="00814236" w:rsidRDefault="0055202F" w:rsidP="00A907D5">
            <w:pPr>
              <w:keepNext/>
              <w:spacing w:line="240" w:lineRule="auto"/>
              <w:jc w:val="center"/>
              <w:rPr>
                <w:rFonts w:cs="Times New Roman"/>
                <w:b/>
                <w:sz w:val="22"/>
              </w:rPr>
            </w:pPr>
            <w:r w:rsidRPr="00814236">
              <w:rPr>
                <w:rFonts w:cs="Times New Roman"/>
                <w:b/>
                <w:sz w:val="22"/>
              </w:rPr>
              <w:t>116.64</w:t>
            </w:r>
          </w:p>
        </w:tc>
      </w:tr>
    </w:tbl>
    <w:p w14:paraId="5B505560" w14:textId="0F5A9F69" w:rsidR="00AA7258" w:rsidRDefault="00563AC1" w:rsidP="00A907D5">
      <w:pPr>
        <w:spacing w:line="240" w:lineRule="auto"/>
        <w:rPr>
          <w:rFonts w:cs="Times New Roman"/>
        </w:rPr>
      </w:pPr>
      <w:bookmarkStart w:id="34" w:name="_Ref5472429"/>
      <w:bookmarkStart w:id="35" w:name="_Toc7168696"/>
      <w:bookmarkEnd w:id="32"/>
      <w:bookmarkEnd w:id="33"/>
      <w:r w:rsidRPr="00A907D5">
        <w:rPr>
          <w:sz w:val="20"/>
          <w:szCs w:val="20"/>
        </w:rPr>
        <w:t xml:space="preserve">Table </w:t>
      </w:r>
      <w:r w:rsidRPr="00A907D5">
        <w:rPr>
          <w:sz w:val="20"/>
          <w:szCs w:val="20"/>
        </w:rPr>
        <w:fldChar w:fldCharType="begin"/>
      </w:r>
      <w:r w:rsidRPr="00A907D5">
        <w:rPr>
          <w:sz w:val="20"/>
          <w:szCs w:val="20"/>
        </w:rPr>
        <w:instrText xml:space="preserve"> SEQ Table \* ARABIC </w:instrText>
      </w:r>
      <w:r w:rsidRPr="00A907D5">
        <w:rPr>
          <w:sz w:val="20"/>
          <w:szCs w:val="20"/>
        </w:rPr>
        <w:fldChar w:fldCharType="separate"/>
      </w:r>
      <w:r w:rsidR="003C4BAB">
        <w:rPr>
          <w:noProof/>
          <w:sz w:val="20"/>
          <w:szCs w:val="20"/>
        </w:rPr>
        <w:t>2</w:t>
      </w:r>
      <w:r w:rsidRPr="00A907D5">
        <w:rPr>
          <w:sz w:val="20"/>
          <w:szCs w:val="20"/>
        </w:rPr>
        <w:fldChar w:fldCharType="end"/>
      </w:r>
      <w:bookmarkEnd w:id="34"/>
      <w:r w:rsidR="00640C27" w:rsidRPr="00A907D5">
        <w:rPr>
          <w:sz w:val="20"/>
          <w:szCs w:val="20"/>
        </w:rPr>
        <w:t>.</w:t>
      </w:r>
      <w:r w:rsidRPr="00A907D5">
        <w:rPr>
          <w:sz w:val="20"/>
          <w:szCs w:val="20"/>
        </w:rPr>
        <w:t xml:space="preserve"> Impact of augmenting the energy efficiency of the boiler with respect to the revenue generated from selling flexibility. In these results the insulation of the boiler is </w:t>
      </w:r>
      <w:r w:rsidR="0055202F" w:rsidRPr="00A907D5">
        <w:rPr>
          <w:sz w:val="20"/>
          <w:szCs w:val="20"/>
        </w:rPr>
        <w:t>3 times as efficient as in the first setup leading to a net decrease in energy cost and revenue from flexibility.</w:t>
      </w:r>
      <w:bookmarkEnd w:id="35"/>
      <w:r w:rsidR="0055202F" w:rsidRPr="00A907D5">
        <w:rPr>
          <w:sz w:val="20"/>
          <w:szCs w:val="20"/>
        </w:rPr>
        <w:t xml:space="preserve"> </w:t>
      </w:r>
    </w:p>
    <w:p w14:paraId="5F8E54CF" w14:textId="77777777" w:rsidR="00B4035C" w:rsidRDefault="00B4035C" w:rsidP="00141F1C">
      <w:pPr>
        <w:rPr>
          <w:rFonts w:cs="Times New Roman"/>
        </w:rPr>
      </w:pPr>
    </w:p>
    <w:p w14:paraId="06F4D30C" w14:textId="01C88625" w:rsidR="00C169B0" w:rsidRDefault="0088011B" w:rsidP="00141F1C">
      <w:pPr>
        <w:rPr>
          <w:rFonts w:cs="Times New Roman"/>
        </w:rPr>
      </w:pPr>
      <w:r w:rsidRPr="00814236">
        <w:rPr>
          <w:rFonts w:cs="Times New Roman"/>
        </w:rPr>
        <w:fldChar w:fldCharType="begin"/>
      </w:r>
      <w:r w:rsidRPr="00814236">
        <w:rPr>
          <w:rFonts w:cs="Times New Roman"/>
        </w:rPr>
        <w:instrText xml:space="preserve"> REF _Ref5461967 \h </w:instrText>
      </w:r>
      <w:r w:rsidR="00141F1C" w:rsidRPr="00814236">
        <w:rPr>
          <w:rFonts w:cs="Times New Roman"/>
        </w:rPr>
        <w:instrText xml:space="preserve"> \* MERGEFORMAT </w:instrText>
      </w:r>
      <w:r w:rsidRPr="00814236">
        <w:rPr>
          <w:rFonts w:cs="Times New Roman"/>
        </w:rPr>
      </w:r>
      <w:r w:rsidRPr="00814236">
        <w:rPr>
          <w:rFonts w:cs="Times New Roman"/>
        </w:rPr>
        <w:fldChar w:fldCharType="separate"/>
      </w:r>
      <w:r w:rsidRPr="00814236">
        <w:t xml:space="preserve">Table </w:t>
      </w:r>
      <w:r w:rsidRPr="00814236">
        <w:rPr>
          <w:noProof/>
        </w:rPr>
        <w:t>2</w:t>
      </w:r>
      <w:r w:rsidRPr="00814236">
        <w:rPr>
          <w:rFonts w:cs="Times New Roman"/>
        </w:rPr>
        <w:fldChar w:fldCharType="end"/>
      </w:r>
      <w:r w:rsidRPr="00814236">
        <w:rPr>
          <w:rFonts w:cs="Times New Roman"/>
        </w:rPr>
        <w:t xml:space="preserve"> </w:t>
      </w:r>
      <w:r w:rsidR="0055202F" w:rsidRPr="00814236">
        <w:rPr>
          <w:rFonts w:cs="Times New Roman"/>
        </w:rPr>
        <w:t xml:space="preserve">shows that when we augment the energy </w:t>
      </w:r>
      <w:r w:rsidR="005A22EC" w:rsidRPr="00814236">
        <w:rPr>
          <w:rFonts w:cs="Times New Roman"/>
        </w:rPr>
        <w:t>efficiency</w:t>
      </w:r>
      <w:r w:rsidR="0055202F" w:rsidRPr="00814236">
        <w:rPr>
          <w:rFonts w:cs="Times New Roman"/>
        </w:rPr>
        <w:t xml:space="preserve"> of the boiler by insulatin</w:t>
      </w:r>
      <w:r w:rsidR="00AA7258">
        <w:rPr>
          <w:rFonts w:cs="Times New Roman"/>
        </w:rPr>
        <w:t>g</w:t>
      </w:r>
      <w:r w:rsidR="0055202F" w:rsidRPr="00814236">
        <w:rPr>
          <w:rFonts w:cs="Times New Roman"/>
        </w:rPr>
        <w:t xml:space="preserve"> the vessel </w:t>
      </w:r>
      <w:r w:rsidR="00AA7258">
        <w:rPr>
          <w:rFonts w:cs="Times New Roman"/>
        </w:rPr>
        <w:t>three</w:t>
      </w:r>
      <w:r w:rsidR="0055202F" w:rsidRPr="00814236">
        <w:rPr>
          <w:rFonts w:cs="Times New Roman"/>
        </w:rPr>
        <w:t xml:space="preserve"> times as efficient</w:t>
      </w:r>
      <w:r w:rsidR="00AA7258">
        <w:rPr>
          <w:rFonts w:cs="Times New Roman"/>
        </w:rPr>
        <w:t>ly</w:t>
      </w:r>
      <w:r w:rsidR="0055202F" w:rsidRPr="00814236">
        <w:rPr>
          <w:rFonts w:cs="Times New Roman"/>
        </w:rPr>
        <w:t xml:space="preserve"> as before</w:t>
      </w:r>
      <w:r w:rsidR="000C1676" w:rsidRPr="00814236">
        <w:rPr>
          <w:rFonts w:cs="Times New Roman"/>
        </w:rPr>
        <w:t xml:space="preserve"> (insulation goes from 3.3 kJ/h.m</w:t>
      </w:r>
      <w:proofErr w:type="gramStart"/>
      <w:r w:rsidR="000C1676" w:rsidRPr="00814236">
        <w:rPr>
          <w:rFonts w:cs="Times New Roman"/>
          <w:vertAlign w:val="superscript"/>
        </w:rPr>
        <w:t>2</w:t>
      </w:r>
      <w:r w:rsidR="000C1676" w:rsidRPr="00814236">
        <w:rPr>
          <w:rFonts w:cs="Times New Roman"/>
        </w:rPr>
        <w:t>.K</w:t>
      </w:r>
      <w:proofErr w:type="gramEnd"/>
      <w:r w:rsidR="000C1676" w:rsidRPr="00814236">
        <w:rPr>
          <w:rFonts w:cs="Times New Roman"/>
        </w:rPr>
        <w:t xml:space="preserve"> to 1 kJ/h.m</w:t>
      </w:r>
      <w:r w:rsidR="000C1676" w:rsidRPr="00814236">
        <w:rPr>
          <w:rFonts w:cs="Times New Roman"/>
          <w:vertAlign w:val="superscript"/>
        </w:rPr>
        <w:t>2</w:t>
      </w:r>
      <w:r w:rsidR="000C1676" w:rsidRPr="00814236">
        <w:rPr>
          <w:rFonts w:cs="Times New Roman"/>
        </w:rPr>
        <w:t>.K)</w:t>
      </w:r>
      <w:r w:rsidR="0055202F" w:rsidRPr="00814236">
        <w:rPr>
          <w:rFonts w:cs="Times New Roman"/>
        </w:rPr>
        <w:t xml:space="preserve">, the energy consumption drops </w:t>
      </w:r>
      <w:r w:rsidR="00AA7258">
        <w:rPr>
          <w:rFonts w:cs="Times New Roman"/>
        </w:rPr>
        <w:t>as well as</w:t>
      </w:r>
      <w:r w:rsidR="0055202F" w:rsidRPr="00814236">
        <w:rPr>
          <w:rFonts w:cs="Times New Roman"/>
        </w:rPr>
        <w:t xml:space="preserve"> the revenue from flexibility. </w:t>
      </w:r>
    </w:p>
    <w:p w14:paraId="186CA9E1" w14:textId="1254075F" w:rsidR="00AA7258" w:rsidRPr="00814236" w:rsidRDefault="00AA7258" w:rsidP="00141F1C">
      <w:pPr>
        <w:rPr>
          <w:rFonts w:cs="Times New Roman"/>
        </w:rPr>
      </w:pPr>
      <w:r w:rsidRPr="00AA7258">
        <w:rPr>
          <w:rFonts w:cs="Times New Roman"/>
        </w:rPr>
        <w:t>Column</w:t>
      </w:r>
      <w:r w:rsidR="002A5DF7">
        <w:rPr>
          <w:rFonts w:cs="Times New Roman"/>
        </w:rPr>
        <w:t>s</w:t>
      </w:r>
      <w:r w:rsidRPr="00AA7258">
        <w:rPr>
          <w:rFonts w:cs="Times New Roman"/>
        </w:rPr>
        <w:t xml:space="preserve"> A and B show the energy cost and revenue from selling flexibility for the setup as used </w:t>
      </w:r>
      <w:r w:rsidR="002A5DF7">
        <w:rPr>
          <w:rFonts w:cs="Times New Roman"/>
        </w:rPr>
        <w:t>pr</w:t>
      </w:r>
      <w:r w:rsidR="00093E5A">
        <w:rPr>
          <w:rFonts w:cs="Times New Roman"/>
        </w:rPr>
        <w:t>e</w:t>
      </w:r>
      <w:r w:rsidR="002A5DF7">
        <w:rPr>
          <w:rFonts w:cs="Times New Roman"/>
        </w:rPr>
        <w:t>viously</w:t>
      </w:r>
      <w:r w:rsidRPr="00AA7258">
        <w:rPr>
          <w:rFonts w:cs="Times New Roman"/>
        </w:rPr>
        <w:t xml:space="preserve">. </w:t>
      </w:r>
      <w:r w:rsidR="002A5DF7">
        <w:rPr>
          <w:rFonts w:cs="Times New Roman"/>
        </w:rPr>
        <w:t xml:space="preserve">Meanwhile, columns </w:t>
      </w:r>
      <w:r w:rsidRPr="00AA7258">
        <w:rPr>
          <w:rFonts w:cs="Times New Roman"/>
        </w:rPr>
        <w:t xml:space="preserve">C and D give the energy cost and revenue from selling flexibility for a setup where the storage tank is insulated </w:t>
      </w:r>
      <w:r w:rsidR="002A5DF7">
        <w:rPr>
          <w:rFonts w:cs="Times New Roman"/>
        </w:rPr>
        <w:t xml:space="preserve">three </w:t>
      </w:r>
      <w:r w:rsidRPr="00AA7258">
        <w:rPr>
          <w:rFonts w:cs="Times New Roman"/>
        </w:rPr>
        <w:lastRenderedPageBreak/>
        <w:t>times as efficient</w:t>
      </w:r>
      <w:r w:rsidR="002A5DF7">
        <w:rPr>
          <w:rFonts w:cs="Times New Roman"/>
        </w:rPr>
        <w:t>ly</w:t>
      </w:r>
      <w:r w:rsidRPr="00AA7258">
        <w:rPr>
          <w:rFonts w:cs="Times New Roman"/>
        </w:rPr>
        <w:t xml:space="preserve">. </w:t>
      </w:r>
      <w:r w:rsidR="002A5DF7">
        <w:rPr>
          <w:rFonts w:cs="Times New Roman"/>
        </w:rPr>
        <w:t xml:space="preserve">It should be noted </w:t>
      </w:r>
      <w:r w:rsidRPr="00AA7258">
        <w:rPr>
          <w:rFonts w:cs="Times New Roman"/>
        </w:rPr>
        <w:t>that because of the variable setpoints</w:t>
      </w:r>
      <w:r w:rsidR="002A5DF7">
        <w:rPr>
          <w:rFonts w:cs="Times New Roman"/>
        </w:rPr>
        <w:t>,</w:t>
      </w:r>
      <w:r w:rsidRPr="00AA7258">
        <w:rPr>
          <w:rFonts w:cs="Times New Roman"/>
        </w:rPr>
        <w:t xml:space="preserve"> which are </w:t>
      </w:r>
      <w:r w:rsidR="002A5DF7">
        <w:rPr>
          <w:rFonts w:cs="Times New Roman"/>
        </w:rPr>
        <w:t xml:space="preserve">the </w:t>
      </w:r>
      <w:r w:rsidRPr="00AA7258">
        <w:rPr>
          <w:rFonts w:cs="Times New Roman"/>
        </w:rPr>
        <w:t xml:space="preserve">function of the previous state of the boiler and the imbalance of the net, </w:t>
      </w:r>
      <w:r w:rsidR="002A5DF7">
        <w:rPr>
          <w:rFonts w:cs="Times New Roman"/>
        </w:rPr>
        <w:t>T</w:t>
      </w:r>
      <w:r w:rsidRPr="00AA7258">
        <w:rPr>
          <w:rFonts w:cs="Times New Roman"/>
        </w:rPr>
        <w:t xml:space="preserve">able 1 and </w:t>
      </w:r>
      <w:r w:rsidR="002A5DF7">
        <w:rPr>
          <w:rFonts w:cs="Times New Roman"/>
        </w:rPr>
        <w:t>T</w:t>
      </w:r>
      <w:r w:rsidRPr="00AA7258">
        <w:rPr>
          <w:rFonts w:cs="Times New Roman"/>
        </w:rPr>
        <w:t xml:space="preserve">able 2 are not comparable for individual results. </w:t>
      </w:r>
      <w:r w:rsidR="002A5DF7">
        <w:rPr>
          <w:rFonts w:cs="Times New Roman"/>
        </w:rPr>
        <w:t>In fact, o</w:t>
      </w:r>
      <w:r w:rsidRPr="00AA7258">
        <w:rPr>
          <w:rFonts w:cs="Times New Roman"/>
        </w:rPr>
        <w:t xml:space="preserve">nly the overall system performance can be compared for a </w:t>
      </w:r>
      <w:r w:rsidR="002A5DF7">
        <w:rPr>
          <w:rFonts w:cs="Times New Roman"/>
        </w:rPr>
        <w:t xml:space="preserve">specific </w:t>
      </w:r>
      <w:r w:rsidRPr="00AA7258">
        <w:rPr>
          <w:rFonts w:cs="Times New Roman"/>
        </w:rPr>
        <w:t>period of time. In the last column of Table 2</w:t>
      </w:r>
      <w:r w:rsidR="002A5DF7">
        <w:rPr>
          <w:rFonts w:cs="Times New Roman"/>
        </w:rPr>
        <w:t>,</w:t>
      </w:r>
      <w:r w:rsidRPr="00AA7258">
        <w:rPr>
          <w:rFonts w:cs="Times New Roman"/>
        </w:rPr>
        <w:t xml:space="preserve"> the net difference in revenue from the normal setup in comparison with the energy</w:t>
      </w:r>
      <w:r w:rsidR="002A5DF7">
        <w:rPr>
          <w:rFonts w:cs="Times New Roman"/>
        </w:rPr>
        <w:t>-</w:t>
      </w:r>
      <w:r w:rsidRPr="00AA7258">
        <w:rPr>
          <w:rFonts w:cs="Times New Roman"/>
        </w:rPr>
        <w:t xml:space="preserve">optimised </w:t>
      </w:r>
      <w:r w:rsidR="00DC047B">
        <w:rPr>
          <w:rFonts w:cs="Times New Roman"/>
        </w:rPr>
        <w:t>version</w:t>
      </w:r>
      <w:r w:rsidR="002A5DF7">
        <w:rPr>
          <w:rFonts w:cs="Times New Roman"/>
        </w:rPr>
        <w:t xml:space="preserve"> is presented</w:t>
      </w:r>
      <w:r w:rsidRPr="00AA7258">
        <w:rPr>
          <w:rFonts w:cs="Times New Roman"/>
        </w:rPr>
        <w:t>. In total</w:t>
      </w:r>
      <w:r w:rsidR="002A5DF7">
        <w:rPr>
          <w:rFonts w:cs="Times New Roman"/>
        </w:rPr>
        <w:t>,</w:t>
      </w:r>
      <w:r w:rsidRPr="00AA7258">
        <w:rPr>
          <w:rFonts w:cs="Times New Roman"/>
        </w:rPr>
        <w:t xml:space="preserve"> the more efficient system has a net cashflow </w:t>
      </w:r>
      <w:r w:rsidR="002A5DF7">
        <w:rPr>
          <w:rFonts w:cs="Times New Roman"/>
        </w:rPr>
        <w:t>that i</w:t>
      </w:r>
      <w:r w:rsidRPr="00AA7258">
        <w:rPr>
          <w:rFonts w:cs="Times New Roman"/>
        </w:rPr>
        <w:t>s 117 euro</w:t>
      </w:r>
      <w:r w:rsidR="002A5DF7">
        <w:rPr>
          <w:rFonts w:cs="Times New Roman"/>
        </w:rPr>
        <w:t>s</w:t>
      </w:r>
      <w:r w:rsidRPr="00AA7258">
        <w:rPr>
          <w:rFonts w:cs="Times New Roman"/>
        </w:rPr>
        <w:t xml:space="preserve"> less than the less energy</w:t>
      </w:r>
      <w:r w:rsidR="002A5DF7">
        <w:rPr>
          <w:rFonts w:cs="Times New Roman"/>
        </w:rPr>
        <w:t>-</w:t>
      </w:r>
      <w:r w:rsidRPr="00AA7258">
        <w:rPr>
          <w:rFonts w:cs="Times New Roman"/>
        </w:rPr>
        <w:t>optimised setup. This means that the more energy</w:t>
      </w:r>
      <w:r w:rsidR="00DC047B">
        <w:rPr>
          <w:rFonts w:cs="Times New Roman"/>
        </w:rPr>
        <w:t>-</w:t>
      </w:r>
      <w:r w:rsidRPr="00AA7258">
        <w:rPr>
          <w:rFonts w:cs="Times New Roman"/>
        </w:rPr>
        <w:t xml:space="preserve">efficient the setup, the less revenue is generated. This remarkable fact should lead to a regulation </w:t>
      </w:r>
      <w:r w:rsidR="002A5DF7">
        <w:rPr>
          <w:rFonts w:cs="Times New Roman"/>
        </w:rPr>
        <w:t xml:space="preserve">that </w:t>
      </w:r>
      <w:r w:rsidRPr="00AA7258">
        <w:rPr>
          <w:rFonts w:cs="Times New Roman"/>
        </w:rPr>
        <w:t>sets minimal energy performance levels before being allowed to participate in selling flexibility. Otherwise</w:t>
      </w:r>
      <w:r w:rsidR="002A5DF7">
        <w:rPr>
          <w:rFonts w:cs="Times New Roman"/>
        </w:rPr>
        <w:t>,</w:t>
      </w:r>
      <w:r w:rsidRPr="00AA7258">
        <w:rPr>
          <w:rFonts w:cs="Times New Roman"/>
        </w:rPr>
        <w:t xml:space="preserve"> revenue can be created from wasting energy.</w:t>
      </w:r>
    </w:p>
    <w:p w14:paraId="7A5A2ECD" w14:textId="7A80B710" w:rsidR="00B4035C" w:rsidRPr="00B4035C" w:rsidRDefault="002A5DF7" w:rsidP="00A907D5">
      <w:pPr>
        <w:pStyle w:val="Heading3"/>
      </w:pPr>
      <w:bookmarkStart w:id="36" w:name="_Toc7096539"/>
      <w:r>
        <w:t>3.3</w:t>
      </w:r>
      <w:bookmarkEnd w:id="36"/>
      <w:r>
        <w:t xml:space="preserve"> </w:t>
      </w:r>
      <w:r w:rsidR="00B4035C" w:rsidRPr="00B4035C">
        <w:t>Net present value analysis</w:t>
      </w:r>
    </w:p>
    <w:p w14:paraId="7DB5F376" w14:textId="07D2EDA0" w:rsidR="001809D2" w:rsidRPr="00A907D5" w:rsidRDefault="003556A9" w:rsidP="00A907D5">
      <w:pPr>
        <w:pStyle w:val="Heading3"/>
        <w:spacing w:line="480" w:lineRule="auto"/>
        <w:rPr>
          <w:b w:val="0"/>
          <w:i/>
          <w:sz w:val="24"/>
        </w:rPr>
      </w:pPr>
      <w:r w:rsidRPr="00A907D5">
        <w:rPr>
          <w:rFonts w:cs="Times New Roman"/>
          <w:b w:val="0"/>
          <w:sz w:val="24"/>
        </w:rPr>
        <w:t>To steer the boilers from a central location</w:t>
      </w:r>
      <w:r w:rsidR="008542D9" w:rsidRPr="00A907D5">
        <w:rPr>
          <w:rFonts w:cs="Times New Roman"/>
          <w:b w:val="0"/>
          <w:sz w:val="24"/>
        </w:rPr>
        <w:t xml:space="preserve">, </w:t>
      </w:r>
      <w:r w:rsidR="00326926" w:rsidRPr="00A907D5">
        <w:rPr>
          <w:rFonts w:cs="Times New Roman"/>
          <w:b w:val="0"/>
          <w:sz w:val="24"/>
        </w:rPr>
        <w:t>the necessary equipment is needed to communicate</w:t>
      </w:r>
      <w:r w:rsidR="008542D9" w:rsidRPr="00A907D5">
        <w:rPr>
          <w:rFonts w:cs="Times New Roman"/>
          <w:b w:val="0"/>
          <w:sz w:val="24"/>
        </w:rPr>
        <w:t xml:space="preserve"> bi-directional</w:t>
      </w:r>
      <w:r w:rsidR="002A5DF7" w:rsidRPr="00A907D5">
        <w:rPr>
          <w:rFonts w:cs="Times New Roman"/>
          <w:b w:val="0"/>
          <w:sz w:val="24"/>
        </w:rPr>
        <w:t>ly</w:t>
      </w:r>
      <w:r w:rsidR="008542D9" w:rsidRPr="00A907D5">
        <w:rPr>
          <w:rFonts w:cs="Times New Roman"/>
          <w:b w:val="0"/>
          <w:sz w:val="24"/>
        </w:rPr>
        <w:t xml:space="preserve"> with the boiler </w:t>
      </w:r>
      <w:r w:rsidR="002A5DF7" w:rsidRPr="00A907D5">
        <w:rPr>
          <w:rFonts w:cs="Times New Roman"/>
          <w:b w:val="0"/>
          <w:sz w:val="24"/>
        </w:rPr>
        <w:t xml:space="preserve">in order </w:t>
      </w:r>
      <w:r w:rsidR="008542D9" w:rsidRPr="00A907D5">
        <w:rPr>
          <w:rFonts w:cs="Times New Roman"/>
          <w:b w:val="0"/>
          <w:sz w:val="24"/>
        </w:rPr>
        <w:t xml:space="preserve">to control the setpoint settings. </w:t>
      </w:r>
      <w:r w:rsidR="00C53BAB" w:rsidRPr="00A907D5">
        <w:rPr>
          <w:rFonts w:cs="Times New Roman"/>
          <w:b w:val="0"/>
          <w:sz w:val="24"/>
        </w:rPr>
        <w:t>To react</w:t>
      </w:r>
      <w:r w:rsidR="008542D9" w:rsidRPr="00A907D5">
        <w:rPr>
          <w:rFonts w:cs="Times New Roman"/>
          <w:b w:val="0"/>
          <w:sz w:val="24"/>
        </w:rPr>
        <w:t xml:space="preserve"> on the setpoint changes</w:t>
      </w:r>
      <w:r w:rsidR="00C53BAB" w:rsidRPr="00A907D5">
        <w:rPr>
          <w:rFonts w:cs="Times New Roman"/>
          <w:b w:val="0"/>
          <w:sz w:val="24"/>
        </w:rPr>
        <w:t>,</w:t>
      </w:r>
      <w:r w:rsidR="008542D9" w:rsidRPr="00A907D5">
        <w:rPr>
          <w:rFonts w:cs="Times New Roman"/>
          <w:b w:val="0"/>
          <w:sz w:val="24"/>
        </w:rPr>
        <w:t xml:space="preserve"> a local controller</w:t>
      </w:r>
      <w:r w:rsidR="00C53BAB" w:rsidRPr="00A907D5">
        <w:rPr>
          <w:rFonts w:cs="Times New Roman"/>
          <w:b w:val="0"/>
          <w:sz w:val="24"/>
        </w:rPr>
        <w:t xml:space="preserve"> and actuator</w:t>
      </w:r>
      <w:r w:rsidR="008542D9" w:rsidRPr="00A907D5">
        <w:rPr>
          <w:rFonts w:cs="Times New Roman"/>
          <w:b w:val="0"/>
          <w:sz w:val="24"/>
        </w:rPr>
        <w:t xml:space="preserve"> is installed onto the boiler. These investments need to be taken into account when analysing the </w:t>
      </w:r>
      <w:r w:rsidR="00326926" w:rsidRPr="00A907D5">
        <w:rPr>
          <w:rFonts w:cs="Times New Roman"/>
          <w:b w:val="0"/>
          <w:sz w:val="24"/>
        </w:rPr>
        <w:t xml:space="preserve">economic </w:t>
      </w:r>
      <w:r w:rsidR="008542D9" w:rsidRPr="00A907D5">
        <w:rPr>
          <w:rFonts w:cs="Times New Roman"/>
          <w:b w:val="0"/>
          <w:sz w:val="24"/>
        </w:rPr>
        <w:t xml:space="preserve">feasibility of the system. </w:t>
      </w:r>
      <w:r w:rsidR="00AF38FD" w:rsidRPr="00A907D5">
        <w:rPr>
          <w:rFonts w:cs="Times New Roman"/>
          <w:b w:val="0"/>
          <w:sz w:val="24"/>
        </w:rPr>
        <w:fldChar w:fldCharType="begin"/>
      </w:r>
      <w:r w:rsidR="00AF38FD" w:rsidRPr="00A907D5">
        <w:rPr>
          <w:rFonts w:cs="Times New Roman"/>
          <w:b w:val="0"/>
          <w:sz w:val="24"/>
        </w:rPr>
        <w:instrText xml:space="preserve"> REF _Ref533794317 \h </w:instrText>
      </w:r>
      <w:r w:rsidR="00141F1C" w:rsidRPr="00A907D5">
        <w:rPr>
          <w:rFonts w:cs="Times New Roman"/>
          <w:b w:val="0"/>
          <w:sz w:val="24"/>
        </w:rPr>
        <w:instrText xml:space="preserve"> \* MERGEFORMAT </w:instrText>
      </w:r>
      <w:r w:rsidR="00AF38FD" w:rsidRPr="00A907D5">
        <w:rPr>
          <w:rFonts w:cs="Times New Roman"/>
          <w:b w:val="0"/>
          <w:sz w:val="24"/>
        </w:rPr>
      </w:r>
      <w:r w:rsidR="00AF38FD" w:rsidRPr="00A907D5">
        <w:rPr>
          <w:rFonts w:cs="Times New Roman"/>
          <w:b w:val="0"/>
          <w:sz w:val="24"/>
        </w:rPr>
        <w:fldChar w:fldCharType="separate"/>
      </w:r>
      <w:r w:rsidR="00AF38FD" w:rsidRPr="00A907D5">
        <w:rPr>
          <w:b w:val="0"/>
          <w:sz w:val="24"/>
        </w:rPr>
        <w:t xml:space="preserve">Table </w:t>
      </w:r>
      <w:r w:rsidR="00AF38FD" w:rsidRPr="00A907D5">
        <w:rPr>
          <w:rFonts w:cs="Times New Roman"/>
          <w:b w:val="0"/>
          <w:sz w:val="24"/>
        </w:rPr>
        <w:fldChar w:fldCharType="end"/>
      </w:r>
      <w:r w:rsidR="002A5DF7" w:rsidRPr="00A907D5">
        <w:rPr>
          <w:rFonts w:cs="Times New Roman"/>
          <w:b w:val="0"/>
          <w:sz w:val="24"/>
        </w:rPr>
        <w:t>3</w:t>
      </w:r>
      <w:r w:rsidR="00AF38FD" w:rsidRPr="00A907D5">
        <w:rPr>
          <w:rFonts w:cs="Times New Roman"/>
          <w:b w:val="0"/>
          <w:sz w:val="24"/>
        </w:rPr>
        <w:t xml:space="preserve"> </w:t>
      </w:r>
      <w:r w:rsidR="00326926" w:rsidRPr="00A907D5">
        <w:rPr>
          <w:rFonts w:cs="Times New Roman"/>
          <w:b w:val="0"/>
          <w:sz w:val="24"/>
        </w:rPr>
        <w:t>gives an overview of the capital and operational expenditure of the system</w:t>
      </w:r>
      <w:r w:rsidR="001809D2" w:rsidRPr="00A907D5">
        <w:rPr>
          <w:rFonts w:cs="Times New Roman"/>
          <w:b w:val="0"/>
          <w:sz w:val="24"/>
        </w:rPr>
        <w:t>:</w:t>
      </w:r>
    </w:p>
    <w:tbl>
      <w:tblPr>
        <w:tblStyle w:val="TableGrid"/>
        <w:tblW w:w="7225"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06"/>
        <w:gridCol w:w="1403"/>
        <w:gridCol w:w="1616"/>
      </w:tblGrid>
      <w:tr w:rsidR="001809D2" w:rsidRPr="00814236" w14:paraId="11CCADC1" w14:textId="77777777" w:rsidTr="00C53BAB">
        <w:tc>
          <w:tcPr>
            <w:tcW w:w="4206" w:type="dxa"/>
            <w:tcBorders>
              <w:top w:val="single" w:sz="4" w:space="0" w:color="auto"/>
              <w:bottom w:val="single" w:sz="4" w:space="0" w:color="auto"/>
            </w:tcBorders>
          </w:tcPr>
          <w:p w14:paraId="4849FBFD" w14:textId="77777777" w:rsidR="001809D2" w:rsidRPr="00814236" w:rsidRDefault="001809D2" w:rsidP="00A907D5">
            <w:pPr>
              <w:spacing w:line="240" w:lineRule="auto"/>
              <w:jc w:val="center"/>
              <w:rPr>
                <w:rFonts w:cs="Times New Roman"/>
                <w:b/>
              </w:rPr>
            </w:pPr>
            <w:r w:rsidRPr="00814236">
              <w:rPr>
                <w:rFonts w:cs="Times New Roman"/>
                <w:b/>
              </w:rPr>
              <w:t>Item</w:t>
            </w:r>
          </w:p>
        </w:tc>
        <w:tc>
          <w:tcPr>
            <w:tcW w:w="1403" w:type="dxa"/>
            <w:tcBorders>
              <w:top w:val="single" w:sz="4" w:space="0" w:color="auto"/>
              <w:bottom w:val="single" w:sz="4" w:space="0" w:color="auto"/>
            </w:tcBorders>
          </w:tcPr>
          <w:p w14:paraId="5954F825" w14:textId="77777777" w:rsidR="001809D2" w:rsidRPr="00814236" w:rsidRDefault="001809D2" w:rsidP="00A907D5">
            <w:pPr>
              <w:spacing w:line="240" w:lineRule="auto"/>
              <w:jc w:val="center"/>
              <w:rPr>
                <w:rFonts w:cs="Times New Roman"/>
                <w:b/>
              </w:rPr>
            </w:pPr>
            <w:proofErr w:type="spellStart"/>
            <w:r w:rsidRPr="00814236">
              <w:rPr>
                <w:rFonts w:cs="Times New Roman"/>
                <w:b/>
              </w:rPr>
              <w:t>CapEx</w:t>
            </w:r>
            <w:proofErr w:type="spellEnd"/>
            <w:r w:rsidRPr="00814236">
              <w:rPr>
                <w:rFonts w:cs="Times New Roman"/>
                <w:b/>
              </w:rPr>
              <w:t xml:space="preserve"> [euros]</w:t>
            </w:r>
          </w:p>
        </w:tc>
        <w:tc>
          <w:tcPr>
            <w:tcW w:w="1616" w:type="dxa"/>
            <w:tcBorders>
              <w:top w:val="single" w:sz="4" w:space="0" w:color="auto"/>
              <w:bottom w:val="single" w:sz="4" w:space="0" w:color="auto"/>
            </w:tcBorders>
          </w:tcPr>
          <w:p w14:paraId="2BC0781D" w14:textId="77777777" w:rsidR="001809D2" w:rsidRPr="00814236" w:rsidRDefault="001809D2" w:rsidP="00A907D5">
            <w:pPr>
              <w:spacing w:line="240" w:lineRule="auto"/>
              <w:jc w:val="center"/>
              <w:rPr>
                <w:rFonts w:cs="Times New Roman"/>
                <w:b/>
              </w:rPr>
            </w:pPr>
            <w:proofErr w:type="spellStart"/>
            <w:r w:rsidRPr="00814236">
              <w:rPr>
                <w:rFonts w:cs="Times New Roman"/>
                <w:b/>
              </w:rPr>
              <w:t>OpEx</w:t>
            </w:r>
            <w:proofErr w:type="spellEnd"/>
            <w:r w:rsidRPr="00814236">
              <w:rPr>
                <w:rFonts w:cs="Times New Roman"/>
                <w:b/>
              </w:rPr>
              <w:t xml:space="preserve"> [euros/year]</w:t>
            </w:r>
          </w:p>
        </w:tc>
      </w:tr>
      <w:tr w:rsidR="001809D2" w:rsidRPr="00814236" w14:paraId="25F3A7FD" w14:textId="77777777" w:rsidTr="00C53BAB">
        <w:tc>
          <w:tcPr>
            <w:tcW w:w="4206" w:type="dxa"/>
            <w:tcBorders>
              <w:top w:val="single" w:sz="4" w:space="0" w:color="auto"/>
            </w:tcBorders>
          </w:tcPr>
          <w:p w14:paraId="743287F2" w14:textId="0860B0B1" w:rsidR="001809D2" w:rsidRPr="00814236" w:rsidRDefault="005D53A5" w:rsidP="00A907D5">
            <w:pPr>
              <w:pStyle w:val="NoSpacing"/>
              <w:spacing w:line="360" w:lineRule="auto"/>
            </w:pPr>
            <w:r w:rsidRPr="00814236">
              <w:t>E</w:t>
            </w:r>
            <w:r w:rsidR="001809D2" w:rsidRPr="00814236">
              <w:t>MPC controller hardware</w:t>
            </w:r>
          </w:p>
        </w:tc>
        <w:tc>
          <w:tcPr>
            <w:tcW w:w="1403" w:type="dxa"/>
            <w:tcBorders>
              <w:top w:val="single" w:sz="4" w:space="0" w:color="auto"/>
            </w:tcBorders>
          </w:tcPr>
          <w:p w14:paraId="51965004" w14:textId="77777777" w:rsidR="001809D2" w:rsidRPr="00814236" w:rsidRDefault="001809D2" w:rsidP="00A907D5">
            <w:pPr>
              <w:pStyle w:val="NoSpacing"/>
              <w:spacing w:line="360" w:lineRule="auto"/>
            </w:pPr>
            <w:r w:rsidRPr="00814236">
              <w:t>28.00</w:t>
            </w:r>
          </w:p>
        </w:tc>
        <w:tc>
          <w:tcPr>
            <w:tcW w:w="1616" w:type="dxa"/>
            <w:tcBorders>
              <w:top w:val="single" w:sz="4" w:space="0" w:color="auto"/>
            </w:tcBorders>
          </w:tcPr>
          <w:p w14:paraId="0E888219" w14:textId="77777777" w:rsidR="001809D2" w:rsidRPr="00814236" w:rsidRDefault="001809D2" w:rsidP="00A907D5">
            <w:pPr>
              <w:pStyle w:val="NoSpacing"/>
              <w:spacing w:line="360" w:lineRule="auto"/>
            </w:pPr>
            <w:r w:rsidRPr="00814236">
              <w:t>4.85</w:t>
            </w:r>
          </w:p>
        </w:tc>
      </w:tr>
      <w:tr w:rsidR="001809D2" w:rsidRPr="00814236" w14:paraId="53BE66EF" w14:textId="77777777" w:rsidTr="00C53BAB">
        <w:tc>
          <w:tcPr>
            <w:tcW w:w="4206" w:type="dxa"/>
          </w:tcPr>
          <w:p w14:paraId="0F806383" w14:textId="1A5456CF" w:rsidR="001809D2" w:rsidRPr="00814236" w:rsidRDefault="001809D2" w:rsidP="00A907D5">
            <w:pPr>
              <w:pStyle w:val="NoSpacing"/>
              <w:spacing w:line="360" w:lineRule="auto"/>
            </w:pPr>
            <w:r w:rsidRPr="00814236">
              <w:t>Communication (over 4G)</w:t>
            </w:r>
          </w:p>
        </w:tc>
        <w:tc>
          <w:tcPr>
            <w:tcW w:w="1403" w:type="dxa"/>
          </w:tcPr>
          <w:p w14:paraId="4B7660D2" w14:textId="77777777" w:rsidR="001809D2" w:rsidRPr="00814236" w:rsidRDefault="001809D2" w:rsidP="00A907D5">
            <w:pPr>
              <w:pStyle w:val="NoSpacing"/>
              <w:spacing w:line="360" w:lineRule="auto"/>
            </w:pPr>
            <w:r w:rsidRPr="00814236">
              <w:t>90.00</w:t>
            </w:r>
          </w:p>
        </w:tc>
        <w:tc>
          <w:tcPr>
            <w:tcW w:w="1616" w:type="dxa"/>
          </w:tcPr>
          <w:p w14:paraId="176D3607" w14:textId="77777777" w:rsidR="001809D2" w:rsidRPr="00814236" w:rsidRDefault="001809D2" w:rsidP="00A907D5">
            <w:pPr>
              <w:pStyle w:val="NoSpacing"/>
              <w:spacing w:line="360" w:lineRule="auto"/>
            </w:pPr>
            <w:r w:rsidRPr="00814236">
              <w:t>180.00</w:t>
            </w:r>
          </w:p>
        </w:tc>
      </w:tr>
      <w:tr w:rsidR="001809D2" w:rsidRPr="00814236" w14:paraId="667730B0" w14:textId="77777777" w:rsidTr="00C53BAB">
        <w:tc>
          <w:tcPr>
            <w:tcW w:w="4206" w:type="dxa"/>
            <w:tcBorders>
              <w:bottom w:val="single" w:sz="4" w:space="0" w:color="auto"/>
            </w:tcBorders>
          </w:tcPr>
          <w:p w14:paraId="4A7FC819" w14:textId="77777777" w:rsidR="001809D2" w:rsidRPr="00814236" w:rsidRDefault="001809D2" w:rsidP="00A907D5">
            <w:pPr>
              <w:pStyle w:val="NoSpacing"/>
              <w:spacing w:line="360" w:lineRule="auto"/>
            </w:pPr>
            <w:r w:rsidRPr="00814236">
              <w:t>Cloud based control platform (AZURE based)</w:t>
            </w:r>
          </w:p>
        </w:tc>
        <w:tc>
          <w:tcPr>
            <w:tcW w:w="1403" w:type="dxa"/>
            <w:tcBorders>
              <w:bottom w:val="single" w:sz="4" w:space="0" w:color="auto"/>
            </w:tcBorders>
          </w:tcPr>
          <w:p w14:paraId="232C48CA" w14:textId="77777777" w:rsidR="001809D2" w:rsidRPr="00814236" w:rsidRDefault="001809D2" w:rsidP="00A907D5">
            <w:pPr>
              <w:pStyle w:val="NoSpacing"/>
              <w:spacing w:line="360" w:lineRule="auto"/>
            </w:pPr>
          </w:p>
        </w:tc>
        <w:tc>
          <w:tcPr>
            <w:tcW w:w="1616" w:type="dxa"/>
            <w:tcBorders>
              <w:bottom w:val="single" w:sz="4" w:space="0" w:color="auto"/>
            </w:tcBorders>
          </w:tcPr>
          <w:p w14:paraId="74F141D3" w14:textId="77777777" w:rsidR="001809D2" w:rsidRPr="00814236" w:rsidRDefault="001809D2" w:rsidP="00A907D5">
            <w:pPr>
              <w:pStyle w:val="NoSpacing"/>
              <w:spacing w:line="360" w:lineRule="auto"/>
            </w:pPr>
            <w:r w:rsidRPr="00814236">
              <w:t>255.00</w:t>
            </w:r>
          </w:p>
        </w:tc>
      </w:tr>
      <w:tr w:rsidR="001809D2" w:rsidRPr="00814236" w14:paraId="5C9C8FEA" w14:textId="77777777" w:rsidTr="00C53BAB">
        <w:tc>
          <w:tcPr>
            <w:tcW w:w="4206" w:type="dxa"/>
            <w:tcBorders>
              <w:top w:val="single" w:sz="4" w:space="0" w:color="auto"/>
              <w:bottom w:val="single" w:sz="4" w:space="0" w:color="auto"/>
            </w:tcBorders>
          </w:tcPr>
          <w:p w14:paraId="0593C5A7" w14:textId="77777777" w:rsidR="001809D2" w:rsidRPr="00814236" w:rsidRDefault="001809D2" w:rsidP="00A907D5">
            <w:pPr>
              <w:pStyle w:val="NoSpacing"/>
              <w:rPr>
                <w:b/>
              </w:rPr>
            </w:pPr>
            <w:r w:rsidRPr="00814236">
              <w:rPr>
                <w:b/>
              </w:rPr>
              <w:t xml:space="preserve">Total </w:t>
            </w:r>
          </w:p>
        </w:tc>
        <w:tc>
          <w:tcPr>
            <w:tcW w:w="1403" w:type="dxa"/>
            <w:tcBorders>
              <w:top w:val="single" w:sz="4" w:space="0" w:color="auto"/>
              <w:bottom w:val="single" w:sz="4" w:space="0" w:color="auto"/>
            </w:tcBorders>
          </w:tcPr>
          <w:p w14:paraId="111258DC" w14:textId="77777777" w:rsidR="001809D2" w:rsidRPr="00814236" w:rsidRDefault="001809D2" w:rsidP="00A907D5">
            <w:pPr>
              <w:pStyle w:val="NoSpacing"/>
              <w:rPr>
                <w:b/>
              </w:rPr>
            </w:pPr>
            <w:r w:rsidRPr="00814236">
              <w:rPr>
                <w:b/>
              </w:rPr>
              <w:t>118.00</w:t>
            </w:r>
          </w:p>
        </w:tc>
        <w:tc>
          <w:tcPr>
            <w:tcW w:w="1616" w:type="dxa"/>
            <w:tcBorders>
              <w:top w:val="single" w:sz="4" w:space="0" w:color="auto"/>
              <w:bottom w:val="single" w:sz="4" w:space="0" w:color="auto"/>
            </w:tcBorders>
          </w:tcPr>
          <w:p w14:paraId="07E7A473" w14:textId="77777777" w:rsidR="001809D2" w:rsidRPr="00814236" w:rsidRDefault="001809D2" w:rsidP="00A907D5">
            <w:pPr>
              <w:pStyle w:val="NoSpacing"/>
              <w:rPr>
                <w:b/>
              </w:rPr>
            </w:pPr>
            <w:r w:rsidRPr="00814236">
              <w:rPr>
                <w:b/>
              </w:rPr>
              <w:t>439.85</w:t>
            </w:r>
          </w:p>
        </w:tc>
      </w:tr>
    </w:tbl>
    <w:p w14:paraId="6440240E" w14:textId="3DDCCEA4" w:rsidR="00640C27" w:rsidRPr="00A907D5" w:rsidRDefault="003C4BAB" w:rsidP="003C4BAB">
      <w:pPr>
        <w:pStyle w:val="Caption"/>
        <w:rPr>
          <w:i/>
        </w:rPr>
      </w:pPr>
      <w:bookmarkStart w:id="37" w:name="_Toc7168697"/>
      <w:r>
        <w:t xml:space="preserve">Table </w:t>
      </w:r>
      <w:fldSimple w:instr=" SEQ Table \* ARABIC ">
        <w:r>
          <w:rPr>
            <w:noProof/>
          </w:rPr>
          <w:t>3</w:t>
        </w:r>
      </w:fldSimple>
      <w:r w:rsidRPr="00A907D5">
        <w:rPr>
          <w:i/>
        </w:rPr>
        <w:t xml:space="preserve">. </w:t>
      </w:r>
      <w:proofErr w:type="spellStart"/>
      <w:r w:rsidRPr="003C4BAB">
        <w:t>CaPex</w:t>
      </w:r>
      <w:proofErr w:type="spellEnd"/>
      <w:r w:rsidRPr="003C4BAB">
        <w:t xml:space="preserve"> and </w:t>
      </w:r>
      <w:proofErr w:type="spellStart"/>
      <w:r w:rsidRPr="003C4BAB">
        <w:t>OpEx</w:t>
      </w:r>
      <w:proofErr w:type="spellEnd"/>
      <w:r w:rsidRPr="003C4BAB">
        <w:t xml:space="preserve"> overview</w:t>
      </w:r>
      <w:bookmarkEnd w:id="37"/>
    </w:p>
    <w:p w14:paraId="76D766EE" w14:textId="41F2D237" w:rsidR="00326926" w:rsidRPr="00814236" w:rsidRDefault="001809D2" w:rsidP="00141F1C">
      <w:pPr>
        <w:rPr>
          <w:noProof/>
        </w:rPr>
      </w:pPr>
      <w:r w:rsidRPr="00814236">
        <w:lastRenderedPageBreak/>
        <w:t xml:space="preserve">The </w:t>
      </w:r>
      <w:r w:rsidR="005D53A5" w:rsidRPr="00814236">
        <w:t>E</w:t>
      </w:r>
      <w:r w:rsidRPr="00814236">
        <w:rPr>
          <w:rFonts w:cs="Times New Roman"/>
        </w:rPr>
        <w:t xml:space="preserve">MPC controller was programmed using an Arduino Leonardo 65163 development board. The price of these boards varies between 24 euros and 32 euros. The </w:t>
      </w:r>
      <w:r w:rsidR="008542D9" w:rsidRPr="00814236">
        <w:rPr>
          <w:rFonts w:cs="Times New Roman"/>
        </w:rPr>
        <w:t>4G network</w:t>
      </w:r>
      <w:r w:rsidRPr="00814236">
        <w:rPr>
          <w:rFonts w:cs="Times New Roman"/>
        </w:rPr>
        <w:t xml:space="preserve"> was chosen for the communication module as it can be used </w:t>
      </w:r>
      <w:r w:rsidR="008542D9" w:rsidRPr="00814236">
        <w:rPr>
          <w:rFonts w:cs="Times New Roman"/>
        </w:rPr>
        <w:t xml:space="preserve">with </w:t>
      </w:r>
      <w:r w:rsidRPr="00814236">
        <w:rPr>
          <w:rFonts w:cs="Times New Roman"/>
        </w:rPr>
        <w:t xml:space="preserve">deep indoor coverage. If there </w:t>
      </w:r>
      <w:r w:rsidR="00326926" w:rsidRPr="00814236">
        <w:rPr>
          <w:rFonts w:cs="Times New Roman"/>
        </w:rPr>
        <w:t xml:space="preserve">is </w:t>
      </w:r>
      <w:r w:rsidRPr="00814236">
        <w:rPr>
          <w:rFonts w:cs="Times New Roman"/>
        </w:rPr>
        <w:t xml:space="preserve">no public coverage, a private </w:t>
      </w:r>
      <w:proofErr w:type="spellStart"/>
      <w:r w:rsidRPr="00814236">
        <w:rPr>
          <w:rFonts w:cs="Times New Roman"/>
        </w:rPr>
        <w:t>LoRa</w:t>
      </w:r>
      <w:proofErr w:type="spellEnd"/>
      <w:r w:rsidRPr="00814236">
        <w:rPr>
          <w:rFonts w:cs="Times New Roman"/>
        </w:rPr>
        <w:t xml:space="preserve"> network </w:t>
      </w:r>
      <w:r w:rsidR="00326926" w:rsidRPr="00814236">
        <w:rPr>
          <w:rFonts w:cs="Times New Roman"/>
        </w:rPr>
        <w:t>should be</w:t>
      </w:r>
      <w:r w:rsidRPr="00814236">
        <w:rPr>
          <w:rFonts w:cs="Times New Roman"/>
        </w:rPr>
        <w:t xml:space="preserve"> set up using a 4G modem. This modem can communicate </w:t>
      </w:r>
      <w:r w:rsidR="002A5DF7">
        <w:rPr>
          <w:rFonts w:cs="Times New Roman"/>
        </w:rPr>
        <w:t>via</w:t>
      </w:r>
      <w:r w:rsidRPr="00814236">
        <w:rPr>
          <w:rFonts w:cs="Times New Roman"/>
        </w:rPr>
        <w:t xml:space="preserve"> Wi</w:t>
      </w:r>
      <w:r w:rsidR="002A5DF7">
        <w:rPr>
          <w:rFonts w:cs="Times New Roman"/>
        </w:rPr>
        <w:t>-</w:t>
      </w:r>
      <w:r w:rsidRPr="00814236">
        <w:rPr>
          <w:rFonts w:cs="Times New Roman"/>
        </w:rPr>
        <w:t xml:space="preserve">Fi to the Arduino and through 4G to the device management platform and data processing stack. The data processing stack </w:t>
      </w:r>
      <w:r w:rsidR="00326926" w:rsidRPr="00814236">
        <w:rPr>
          <w:rFonts w:cs="Times New Roman"/>
        </w:rPr>
        <w:t xml:space="preserve">can be </w:t>
      </w:r>
      <w:r w:rsidRPr="00814236">
        <w:rPr>
          <w:rFonts w:cs="Times New Roman"/>
        </w:rPr>
        <w:t xml:space="preserve">set </w:t>
      </w:r>
      <w:r w:rsidR="00A83106" w:rsidRPr="00814236">
        <w:rPr>
          <w:rFonts w:cs="Times New Roman"/>
        </w:rPr>
        <w:t>up on Azure.</w:t>
      </w:r>
      <w:r w:rsidR="00F05A57" w:rsidRPr="00814236">
        <w:rPr>
          <w:noProof/>
        </w:rPr>
        <w:t xml:space="preserve"> </w:t>
      </w:r>
    </w:p>
    <w:p w14:paraId="0102095F" w14:textId="3912CE9F" w:rsidR="009E1CE3" w:rsidRPr="00814236" w:rsidRDefault="00326926" w:rsidP="00141F1C">
      <w:pPr>
        <w:rPr>
          <w:noProof/>
        </w:rPr>
      </w:pPr>
      <w:r w:rsidRPr="00814236">
        <w:rPr>
          <w:noProof/>
        </w:rPr>
        <w:t xml:space="preserve">Based on the revenues </w:t>
      </w:r>
      <w:r w:rsidR="002A5DF7">
        <w:rPr>
          <w:noProof/>
        </w:rPr>
        <w:t xml:space="preserve">presented in </w:t>
      </w:r>
      <w:r w:rsidRPr="00814236">
        <w:rPr>
          <w:noProof/>
        </w:rPr>
        <w:t xml:space="preserve">Table 1 and the annual operational cost, the net annual cash flow can be calculated. However, the energy cost and the revenues will not be constant in time. </w:t>
      </w:r>
      <w:r w:rsidR="002A5DF7">
        <w:rPr>
          <w:noProof/>
        </w:rPr>
        <w:t xml:space="preserve">Due to </w:t>
      </w:r>
      <w:r w:rsidRPr="00814236">
        <w:rPr>
          <w:noProof/>
        </w:rPr>
        <w:t>the increased power of renewable energy sources connected to the grid, t</w:t>
      </w:r>
      <w:r w:rsidR="009E1CE3" w:rsidRPr="00814236">
        <w:rPr>
          <w:noProof/>
        </w:rPr>
        <w:t xml:space="preserve">he need for flexibility has </w:t>
      </w:r>
      <w:r w:rsidR="002A5DF7">
        <w:rPr>
          <w:noProof/>
        </w:rPr>
        <w:t xml:space="preserve">also </w:t>
      </w:r>
      <w:r w:rsidR="009E1CE3" w:rsidRPr="00814236">
        <w:rPr>
          <w:noProof/>
        </w:rPr>
        <w:t>grown</w:t>
      </w:r>
      <w:r w:rsidR="002A5DF7">
        <w:rPr>
          <w:noProof/>
        </w:rPr>
        <w:t>,</w:t>
      </w:r>
      <w:r w:rsidR="009E1CE3" w:rsidRPr="00814236">
        <w:rPr>
          <w:noProof/>
        </w:rPr>
        <w:t xml:space="preserve"> </w:t>
      </w:r>
      <w:r w:rsidR="0033439A" w:rsidRPr="00814236">
        <w:rPr>
          <w:noProof/>
        </w:rPr>
        <w:t>and this growth is expected to continue</w:t>
      </w:r>
      <w:r w:rsidR="000B418D" w:rsidRPr="00814236">
        <w:rPr>
          <w:noProof/>
        </w:rPr>
        <w:t>.</w:t>
      </w:r>
    </w:p>
    <w:p w14:paraId="100FE7EA" w14:textId="2BEE6530" w:rsidR="00F05A57" w:rsidRPr="00814236" w:rsidRDefault="002055EF" w:rsidP="00141F1C">
      <w:pPr>
        <w:rPr>
          <w:noProof/>
        </w:rPr>
      </w:pPr>
      <w:r w:rsidRPr="00814236">
        <w:rPr>
          <w:noProof/>
        </w:rPr>
        <w:t>The</w:t>
      </w:r>
      <w:r w:rsidR="003E3A4D" w:rsidRPr="00814236">
        <w:rPr>
          <w:noProof/>
        </w:rPr>
        <w:t xml:space="preserve"> integration of renewables</w:t>
      </w:r>
      <w:r w:rsidRPr="00814236">
        <w:rPr>
          <w:noProof/>
        </w:rPr>
        <w:t xml:space="preserve"> in Belgium</w:t>
      </w:r>
      <w:r w:rsidR="003E3A4D" w:rsidRPr="00814236">
        <w:rPr>
          <w:noProof/>
        </w:rPr>
        <w:t xml:space="preserve"> </w:t>
      </w:r>
      <w:r w:rsidR="002A5DF7">
        <w:rPr>
          <w:noProof/>
        </w:rPr>
        <w:t xml:space="preserve">has witnessed </w:t>
      </w:r>
      <w:r w:rsidR="003E3A4D" w:rsidRPr="00814236">
        <w:rPr>
          <w:noProof/>
        </w:rPr>
        <w:t>a ramp up since 2004</w:t>
      </w:r>
      <w:r w:rsidR="002A5DF7">
        <w:rPr>
          <w:noProof/>
        </w:rPr>
        <w:t xml:space="preserve">, </w:t>
      </w:r>
      <w:r w:rsidR="003E3A4D" w:rsidRPr="00814236">
        <w:rPr>
          <w:noProof/>
        </w:rPr>
        <w:t xml:space="preserve">accelerating up until 2015 </w:t>
      </w:r>
      <w:r w:rsidR="002A5DF7">
        <w:rPr>
          <w:noProof/>
        </w:rPr>
        <w:t xml:space="preserve">before it subsequently </w:t>
      </w:r>
      <w:r w:rsidR="003E3A4D" w:rsidRPr="00814236">
        <w:rPr>
          <w:noProof/>
        </w:rPr>
        <w:t>cool</w:t>
      </w:r>
      <w:r w:rsidR="002A5DF7">
        <w:rPr>
          <w:noProof/>
        </w:rPr>
        <w:t>ed</w:t>
      </w:r>
      <w:r w:rsidR="003E3A4D" w:rsidRPr="00814236">
        <w:rPr>
          <w:noProof/>
        </w:rPr>
        <w:t xml:space="preserve"> down. </w:t>
      </w:r>
      <w:r w:rsidR="002A5DF7">
        <w:rPr>
          <w:noProof/>
        </w:rPr>
        <w:t xml:space="preserve">In fact, </w:t>
      </w:r>
      <w:r w:rsidR="003E3A4D" w:rsidRPr="00814236">
        <w:rPr>
          <w:noProof/>
        </w:rPr>
        <w:t xml:space="preserve">2004 is a logical date as this </w:t>
      </w:r>
      <w:r w:rsidR="002A5DF7">
        <w:rPr>
          <w:noProof/>
        </w:rPr>
        <w:t xml:space="preserve">signalled </w:t>
      </w:r>
      <w:r w:rsidR="003E3A4D" w:rsidRPr="00814236">
        <w:rPr>
          <w:noProof/>
        </w:rPr>
        <w:t xml:space="preserve">the </w:t>
      </w:r>
      <w:r w:rsidR="002A5DF7">
        <w:rPr>
          <w:noProof/>
        </w:rPr>
        <w:t xml:space="preserve">beginning </w:t>
      </w:r>
      <w:r w:rsidR="003E3A4D" w:rsidRPr="00814236">
        <w:rPr>
          <w:noProof/>
        </w:rPr>
        <w:t>of the EPBD regulation (Ener</w:t>
      </w:r>
      <w:r w:rsidR="002A5DF7">
        <w:rPr>
          <w:noProof/>
        </w:rPr>
        <w:t>g</w:t>
      </w:r>
      <w:r w:rsidR="003E3A4D" w:rsidRPr="00814236">
        <w:rPr>
          <w:noProof/>
        </w:rPr>
        <w:t xml:space="preserve">y Performance and Building Directive). The implementation </w:t>
      </w:r>
      <w:r w:rsidR="002A5DF7">
        <w:rPr>
          <w:noProof/>
        </w:rPr>
        <w:t xml:space="preserve">actually </w:t>
      </w:r>
      <w:r w:rsidR="003E3A4D" w:rsidRPr="00814236">
        <w:rPr>
          <w:noProof/>
        </w:rPr>
        <w:t>started in 2006 and the flemish governement subsidised the installation of PV and wind</w:t>
      </w:r>
      <w:r w:rsidR="00CE24CE">
        <w:rPr>
          <w:noProof/>
        </w:rPr>
        <w:t xml:space="preserve"> </w:t>
      </w:r>
      <w:r w:rsidR="00DC047B">
        <w:rPr>
          <w:noProof/>
        </w:rPr>
        <w:t xml:space="preserve">energy </w:t>
      </w:r>
      <w:r w:rsidR="00CE24CE">
        <w:rPr>
          <w:noProof/>
        </w:rPr>
        <w:t>sources</w:t>
      </w:r>
      <w:r w:rsidR="003E3A4D" w:rsidRPr="00814236">
        <w:rPr>
          <w:noProof/>
        </w:rPr>
        <w:t xml:space="preserve">, leading to a rapid growth in energy generation and usage. </w:t>
      </w:r>
    </w:p>
    <w:p w14:paraId="57D8496F" w14:textId="5568C97E" w:rsidR="00160333" w:rsidRPr="00814236" w:rsidRDefault="003E3A4D" w:rsidP="00141F1C">
      <w:pPr>
        <w:rPr>
          <w:rFonts w:cs="Times New Roman"/>
        </w:rPr>
      </w:pPr>
      <w:r w:rsidRPr="00814236">
        <w:rPr>
          <w:rFonts w:cs="Times New Roman"/>
        </w:rPr>
        <w:t xml:space="preserve">Together with the increase of the renewable generation capacity and renewable energy usage, </w:t>
      </w:r>
      <w:r w:rsidR="00915763" w:rsidRPr="00814236">
        <w:rPr>
          <w:rFonts w:cs="Times New Roman"/>
        </w:rPr>
        <w:t xml:space="preserve">the need for regulation </w:t>
      </w:r>
      <w:r w:rsidR="000B418D" w:rsidRPr="00814236">
        <w:rPr>
          <w:rFonts w:cs="Times New Roman"/>
        </w:rPr>
        <w:t>volume</w:t>
      </w:r>
      <w:r w:rsidR="00915763" w:rsidRPr="00814236">
        <w:rPr>
          <w:rFonts w:cs="Times New Roman"/>
        </w:rPr>
        <w:t xml:space="preserve"> in the downward sense</w:t>
      </w:r>
      <w:r w:rsidR="000B418D" w:rsidRPr="00814236">
        <w:rPr>
          <w:rFonts w:cs="Times New Roman"/>
        </w:rPr>
        <w:t xml:space="preserve"> (too much energy on the net)</w:t>
      </w:r>
      <w:r w:rsidR="00915763" w:rsidRPr="00814236">
        <w:rPr>
          <w:rFonts w:cs="Times New Roman"/>
        </w:rPr>
        <w:t xml:space="preserve"> </w:t>
      </w:r>
      <w:r w:rsidR="0004486D" w:rsidRPr="00814236">
        <w:rPr>
          <w:rFonts w:cs="Times New Roman"/>
        </w:rPr>
        <w:t xml:space="preserve">is lowering, while </w:t>
      </w:r>
      <w:r w:rsidR="00DC047B">
        <w:rPr>
          <w:rFonts w:cs="Times New Roman"/>
        </w:rPr>
        <w:t xml:space="preserve">the </w:t>
      </w:r>
      <w:r w:rsidR="0004486D" w:rsidRPr="00814236">
        <w:rPr>
          <w:rFonts w:cs="Times New Roman"/>
        </w:rPr>
        <w:t xml:space="preserve">upward regulation volume shows an upward trend. </w:t>
      </w:r>
      <w:r w:rsidR="002055EF" w:rsidRPr="00814236">
        <w:rPr>
          <w:rFonts w:cs="Times New Roman"/>
        </w:rPr>
        <w:t xml:space="preserve">These trends can be explained </w:t>
      </w:r>
      <w:r w:rsidR="00CE24CE">
        <w:rPr>
          <w:rFonts w:cs="Times New Roman"/>
        </w:rPr>
        <w:t xml:space="preserve">in terms of </w:t>
      </w:r>
      <w:r w:rsidR="002055EF" w:rsidRPr="00814236">
        <w:rPr>
          <w:rFonts w:cs="Times New Roman"/>
        </w:rPr>
        <w:t>the technical difficulty of storing electrical energy, while it is relatively easier to add energy to the net.</w:t>
      </w:r>
      <w:r w:rsidR="00141F1C" w:rsidRPr="00814236">
        <w:rPr>
          <w:rFonts w:cs="Times New Roman"/>
        </w:rPr>
        <w:t xml:space="preserve"> </w:t>
      </w:r>
      <w:r w:rsidR="002055EF" w:rsidRPr="00814236">
        <w:rPr>
          <w:rFonts w:cs="Times New Roman"/>
        </w:rPr>
        <w:t>However</w:t>
      </w:r>
      <w:r w:rsidR="00CE24CE">
        <w:rPr>
          <w:rFonts w:cs="Times New Roman"/>
        </w:rPr>
        <w:t>,</w:t>
      </w:r>
      <w:r w:rsidR="002055EF" w:rsidRPr="00814236">
        <w:rPr>
          <w:rFonts w:cs="Times New Roman"/>
        </w:rPr>
        <w:t xml:space="preserve"> adding energy to the net is expensive and has a </w:t>
      </w:r>
      <w:r w:rsidR="00CE24CE">
        <w:rPr>
          <w:rFonts w:cs="Times New Roman"/>
        </w:rPr>
        <w:t xml:space="preserve">greater </w:t>
      </w:r>
      <w:r w:rsidR="002055EF" w:rsidRPr="00814236">
        <w:rPr>
          <w:rFonts w:cs="Times New Roman"/>
        </w:rPr>
        <w:t xml:space="preserve">environmental impact. </w:t>
      </w:r>
      <w:r w:rsidR="00160333" w:rsidRPr="00814236">
        <w:rPr>
          <w:rFonts w:cs="Times New Roman"/>
        </w:rPr>
        <w:t xml:space="preserve">If we </w:t>
      </w:r>
      <w:r w:rsidR="00CE24CE">
        <w:rPr>
          <w:rFonts w:cs="Times New Roman"/>
        </w:rPr>
        <w:t>could</w:t>
      </w:r>
      <w:r w:rsidR="00160333" w:rsidRPr="00814236">
        <w:rPr>
          <w:rFonts w:cs="Times New Roman"/>
        </w:rPr>
        <w:t xml:space="preserve">, from a technical </w:t>
      </w:r>
      <w:r w:rsidR="00160333" w:rsidRPr="00814236">
        <w:rPr>
          <w:rFonts w:cs="Times New Roman"/>
        </w:rPr>
        <w:lastRenderedPageBreak/>
        <w:t>perspective, adapt the usage of energy (</w:t>
      </w:r>
      <w:r w:rsidR="002055EF" w:rsidRPr="00814236">
        <w:rPr>
          <w:rFonts w:cs="Times New Roman"/>
        </w:rPr>
        <w:t xml:space="preserve">using flexibility by </w:t>
      </w:r>
      <w:r w:rsidR="00160333" w:rsidRPr="00814236">
        <w:rPr>
          <w:rFonts w:cs="Times New Roman"/>
        </w:rPr>
        <w:t xml:space="preserve">demand response), we </w:t>
      </w:r>
      <w:r w:rsidR="00CE24CE">
        <w:rPr>
          <w:rFonts w:cs="Times New Roman"/>
        </w:rPr>
        <w:t>co</w:t>
      </w:r>
      <w:r w:rsidR="00160333" w:rsidRPr="00814236">
        <w:rPr>
          <w:rFonts w:cs="Times New Roman"/>
        </w:rPr>
        <w:t>uld lower the baseload setpoint of classical energy production</w:t>
      </w:r>
      <w:r w:rsidR="00651DD0" w:rsidRPr="00814236">
        <w:rPr>
          <w:rFonts w:cs="Times New Roman"/>
        </w:rPr>
        <w:t xml:space="preserve"> even more</w:t>
      </w:r>
      <w:r w:rsidR="002055EF" w:rsidRPr="00814236">
        <w:rPr>
          <w:rFonts w:cs="Times New Roman"/>
        </w:rPr>
        <w:t xml:space="preserve"> and eventually </w:t>
      </w:r>
      <w:r w:rsidR="00CE24CE">
        <w:rPr>
          <w:rFonts w:cs="Times New Roman"/>
        </w:rPr>
        <w:t>‘</w:t>
      </w:r>
      <w:r w:rsidR="002055EF" w:rsidRPr="00814236">
        <w:rPr>
          <w:rFonts w:cs="Times New Roman"/>
        </w:rPr>
        <w:t>turn of</w:t>
      </w:r>
      <w:r w:rsidR="00CE24CE">
        <w:rPr>
          <w:rFonts w:cs="Times New Roman"/>
        </w:rPr>
        <w:t>f’</w:t>
      </w:r>
      <w:r w:rsidR="002055EF" w:rsidRPr="00814236">
        <w:rPr>
          <w:rFonts w:cs="Times New Roman"/>
        </w:rPr>
        <w:t xml:space="preserve"> classical energy production</w:t>
      </w:r>
      <w:r w:rsidR="00CE24CE">
        <w:rPr>
          <w:rFonts w:cs="Times New Roman"/>
        </w:rPr>
        <w:t xml:space="preserve"> altogether</w:t>
      </w:r>
      <w:r w:rsidR="00651DD0" w:rsidRPr="00814236">
        <w:rPr>
          <w:rFonts w:cs="Times New Roman"/>
        </w:rPr>
        <w:t xml:space="preserve">. </w:t>
      </w:r>
      <w:r w:rsidR="002055EF" w:rsidRPr="00814236">
        <w:rPr>
          <w:rFonts w:cs="Times New Roman"/>
        </w:rPr>
        <w:t>T</w:t>
      </w:r>
      <w:r w:rsidR="00651DD0" w:rsidRPr="00814236">
        <w:rPr>
          <w:rFonts w:cs="Times New Roman"/>
        </w:rPr>
        <w:t>h</w:t>
      </w:r>
      <w:r w:rsidR="002055EF" w:rsidRPr="00814236">
        <w:rPr>
          <w:rFonts w:cs="Times New Roman"/>
        </w:rPr>
        <w:t>e</w:t>
      </w:r>
      <w:r w:rsidR="00651DD0" w:rsidRPr="00814236">
        <w:rPr>
          <w:rFonts w:cs="Times New Roman"/>
        </w:rPr>
        <w:t xml:space="preserve"> increasing </w:t>
      </w:r>
      <w:r w:rsidR="002055EF" w:rsidRPr="00814236">
        <w:rPr>
          <w:rFonts w:cs="Times New Roman"/>
        </w:rPr>
        <w:t xml:space="preserve">use of </w:t>
      </w:r>
      <w:r w:rsidR="00651DD0" w:rsidRPr="00814236">
        <w:rPr>
          <w:rFonts w:cs="Times New Roman"/>
        </w:rPr>
        <w:t xml:space="preserve">flexibility would lead to the possibility to run entirely on renewable energy sources. The need for flexibility is thus ever </w:t>
      </w:r>
      <w:r w:rsidR="00CE24CE">
        <w:rPr>
          <w:rFonts w:cs="Times New Roman"/>
        </w:rPr>
        <w:t>increasing</w:t>
      </w:r>
      <w:r w:rsidR="00651DD0" w:rsidRPr="00814236">
        <w:rPr>
          <w:rFonts w:cs="Times New Roman"/>
        </w:rPr>
        <w:t xml:space="preserve">. </w:t>
      </w:r>
    </w:p>
    <w:p w14:paraId="631ABFCA" w14:textId="0040CF04" w:rsidR="00DE380A" w:rsidRPr="00814236" w:rsidRDefault="0033439A" w:rsidP="00141F1C">
      <w:pPr>
        <w:rPr>
          <w:rFonts w:cs="Times New Roman"/>
        </w:rPr>
      </w:pPr>
      <w:r w:rsidRPr="00814236">
        <w:rPr>
          <w:rFonts w:cs="Times New Roman"/>
        </w:rPr>
        <w:t>However, as more flexibility becomes available, the value of flexibility will become lower. Therefore, w</w:t>
      </w:r>
      <w:r w:rsidR="00DE380A" w:rsidRPr="00814236">
        <w:rPr>
          <w:rFonts w:cs="Times New Roman"/>
        </w:rPr>
        <w:t xml:space="preserve">e consider </w:t>
      </w:r>
      <w:r w:rsidR="00CE24CE">
        <w:rPr>
          <w:rFonts w:cs="Times New Roman"/>
        </w:rPr>
        <w:t xml:space="preserve">three different </w:t>
      </w:r>
      <w:r w:rsidR="00DE380A" w:rsidRPr="00814236">
        <w:rPr>
          <w:rFonts w:cs="Times New Roman"/>
        </w:rPr>
        <w:t>scenarios</w:t>
      </w:r>
      <w:r w:rsidR="0082796F" w:rsidRPr="00814236">
        <w:rPr>
          <w:rFonts w:cs="Times New Roman"/>
        </w:rPr>
        <w:t>. In the first</w:t>
      </w:r>
      <w:r w:rsidR="00DC047B">
        <w:rPr>
          <w:rFonts w:cs="Times New Roman"/>
        </w:rPr>
        <w:t>,</w:t>
      </w:r>
      <w:r w:rsidR="0082796F" w:rsidRPr="00814236">
        <w:rPr>
          <w:rFonts w:cs="Times New Roman"/>
        </w:rPr>
        <w:t xml:space="preserve"> we assume that the revenue from flexibility remains constant</w:t>
      </w:r>
      <w:r w:rsidR="00CE24CE">
        <w:rPr>
          <w:rFonts w:cs="Times New Roman"/>
        </w:rPr>
        <w:t>, while in t</w:t>
      </w:r>
      <w:r w:rsidR="0082796F" w:rsidRPr="00814236">
        <w:rPr>
          <w:rFonts w:cs="Times New Roman"/>
        </w:rPr>
        <w:t>he second</w:t>
      </w:r>
      <w:r w:rsidR="00CE24CE">
        <w:rPr>
          <w:rFonts w:cs="Times New Roman"/>
        </w:rPr>
        <w:t xml:space="preserve">, we </w:t>
      </w:r>
      <w:r w:rsidR="0082796F" w:rsidRPr="00814236">
        <w:rPr>
          <w:rFonts w:cs="Times New Roman"/>
        </w:rPr>
        <w:t>assume that the need for flexibility decrease</w:t>
      </w:r>
      <w:r w:rsidR="00CE24CE">
        <w:rPr>
          <w:rFonts w:cs="Times New Roman"/>
        </w:rPr>
        <w:t xml:space="preserve">s </w:t>
      </w:r>
      <w:r w:rsidR="0082796F" w:rsidRPr="00814236">
        <w:rPr>
          <w:rFonts w:cs="Times New Roman"/>
        </w:rPr>
        <w:t xml:space="preserve">with a factor </w:t>
      </w:r>
      <w:r w:rsidR="00CE24CE">
        <w:rPr>
          <w:rFonts w:cs="Times New Roman"/>
        </w:rPr>
        <w:t xml:space="preserve">of </w:t>
      </w:r>
      <w:r w:rsidR="0082796F" w:rsidRPr="00814236">
        <w:rPr>
          <w:rFonts w:cs="Times New Roman"/>
        </w:rPr>
        <w:t xml:space="preserve">3 during the lifetime of the installation. A final scenario calculates the minimal flexibility needed for the investment to be profitable. All the scenarios assume a decrease in the revenue for flexibility. </w:t>
      </w:r>
    </w:p>
    <w:p w14:paraId="18D6D7C9" w14:textId="67A34834" w:rsidR="00870068" w:rsidRPr="00814236" w:rsidRDefault="00B143DF" w:rsidP="00141F1C">
      <w:pPr>
        <w:rPr>
          <w:rFonts w:cs="Times New Roman"/>
        </w:rPr>
      </w:pPr>
      <w:r w:rsidRPr="00814236">
        <w:rPr>
          <w:rFonts w:cs="Times New Roman"/>
        </w:rPr>
        <w:t>For the economic valuation, a discount rate of 12% is chosen (cost of equity</w:t>
      </w:r>
      <w:r w:rsidR="00BA1310">
        <w:rPr>
          <w:rFonts w:cs="Times New Roman"/>
        </w:rPr>
        <w:t xml:space="preserve">, being the </w:t>
      </w:r>
      <w:proofErr w:type="gramStart"/>
      <w:r w:rsidR="00BA1310">
        <w:rPr>
          <w:rFonts w:cs="Times New Roman"/>
        </w:rPr>
        <w:t>worst case</w:t>
      </w:r>
      <w:proofErr w:type="gramEnd"/>
      <w:r w:rsidR="00BA1310">
        <w:rPr>
          <w:rFonts w:cs="Times New Roman"/>
        </w:rPr>
        <w:t xml:space="preserve"> scenario</w:t>
      </w:r>
      <w:r w:rsidRPr="00814236">
        <w:rPr>
          <w:rFonts w:cs="Times New Roman"/>
        </w:rPr>
        <w:t>)</w:t>
      </w:r>
      <w:r w:rsidR="00CE24CE">
        <w:rPr>
          <w:rFonts w:cs="Times New Roman"/>
        </w:rPr>
        <w:t>, while w</w:t>
      </w:r>
      <w:r w:rsidRPr="00814236">
        <w:rPr>
          <w:rFonts w:cs="Times New Roman"/>
        </w:rPr>
        <w:t xml:space="preserve">e consider the lifetime of the boiler to be 12 years. We simulate the impact of the energy price rising </w:t>
      </w:r>
      <w:r w:rsidR="00CE24CE">
        <w:rPr>
          <w:rFonts w:cs="Times New Roman"/>
        </w:rPr>
        <w:t>by</w:t>
      </w:r>
      <w:r w:rsidRPr="00814236">
        <w:rPr>
          <w:rFonts w:cs="Times New Roman"/>
        </w:rPr>
        <w:t xml:space="preserve"> 2% every year and the effect of the revenue of flex being </w:t>
      </w:r>
      <w:r w:rsidR="00CE24CE">
        <w:rPr>
          <w:rFonts w:cs="Times New Roman"/>
        </w:rPr>
        <w:t xml:space="preserve">three </w:t>
      </w:r>
      <w:r w:rsidRPr="00814236">
        <w:rPr>
          <w:rFonts w:cs="Times New Roman"/>
        </w:rPr>
        <w:t>times as low as the pricing on the imbalance market for the year 2017.</w:t>
      </w:r>
      <w:r w:rsidR="00141F1C" w:rsidRPr="00814236">
        <w:rPr>
          <w:rFonts w:cs="Times New Roman"/>
        </w:rPr>
        <w:t xml:space="preserve"> </w:t>
      </w:r>
      <w:r w:rsidR="00D21747" w:rsidRPr="00814236">
        <w:rPr>
          <w:rFonts w:cs="Times New Roman"/>
        </w:rPr>
        <w:t>Every time</w:t>
      </w:r>
      <w:r w:rsidR="00DC047B">
        <w:rPr>
          <w:rFonts w:cs="Times New Roman"/>
        </w:rPr>
        <w:t>,</w:t>
      </w:r>
      <w:r w:rsidR="00D21747" w:rsidRPr="00814236">
        <w:rPr>
          <w:rFonts w:cs="Times New Roman"/>
        </w:rPr>
        <w:t xml:space="preserve"> the IRR</w:t>
      </w:r>
      <w:r w:rsidR="00B361D4" w:rsidRPr="00814236">
        <w:rPr>
          <w:rFonts w:cs="Times New Roman"/>
        </w:rPr>
        <w:t xml:space="preserve"> (internal rate of return, return if NPV = </w:t>
      </w:r>
      <w:r w:rsidR="00F151A3" w:rsidRPr="00814236">
        <w:rPr>
          <w:rFonts w:cs="Times New Roman"/>
        </w:rPr>
        <w:t>0)</w:t>
      </w:r>
      <w:r w:rsidR="00D21747" w:rsidRPr="00814236">
        <w:rPr>
          <w:rFonts w:cs="Times New Roman"/>
        </w:rPr>
        <w:t xml:space="preserve"> and NPV are calculated and appear to be positive</w:t>
      </w:r>
      <w:r w:rsidR="00953797">
        <w:rPr>
          <w:rFonts w:cs="Times New Roman"/>
        </w:rPr>
        <w:t xml:space="preserve"> (NPV &gt;0 and IRR &gt; discount rate)</w:t>
      </w:r>
      <w:r w:rsidR="00D21747" w:rsidRPr="00814236">
        <w:rPr>
          <w:rFonts w:cs="Times New Roman"/>
        </w:rPr>
        <w:t xml:space="preserve">, </w:t>
      </w:r>
      <w:r w:rsidR="00CE24CE">
        <w:rPr>
          <w:rFonts w:cs="Times New Roman"/>
        </w:rPr>
        <w:t xml:space="preserve">thereby </w:t>
      </w:r>
      <w:r w:rsidR="00D21747" w:rsidRPr="00814236">
        <w:rPr>
          <w:rFonts w:cs="Times New Roman"/>
        </w:rPr>
        <w:t xml:space="preserve">justifying the investment to make the boiler smart and participating on the imbalance </w:t>
      </w:r>
      <w:r w:rsidR="002468F0" w:rsidRPr="00814236">
        <w:rPr>
          <w:rFonts w:cs="Times New Roman"/>
        </w:rPr>
        <w:t>market</w:t>
      </w:r>
      <w:r w:rsidR="00D21747" w:rsidRPr="00814236">
        <w:rPr>
          <w:rFonts w:cs="Times New Roman"/>
        </w:rPr>
        <w:t xml:space="preserve"> by selling flexibility. </w:t>
      </w:r>
    </w:p>
    <w:p w14:paraId="3A50EE90" w14:textId="5F40FBB4" w:rsidR="00B143DF" w:rsidRPr="00814236" w:rsidRDefault="00D21747" w:rsidP="00141F1C">
      <w:pPr>
        <w:rPr>
          <w:rFonts w:cs="Times New Roman"/>
        </w:rPr>
      </w:pPr>
      <w:r w:rsidRPr="00814236">
        <w:rPr>
          <w:rFonts w:cs="Times New Roman"/>
        </w:rPr>
        <w:t>The cut-off would be 3</w:t>
      </w:r>
      <w:r w:rsidR="0033439A" w:rsidRPr="00814236">
        <w:rPr>
          <w:rFonts w:cs="Times New Roman"/>
        </w:rPr>
        <w:t>.</w:t>
      </w:r>
      <w:r w:rsidRPr="00814236">
        <w:rPr>
          <w:rFonts w:cs="Times New Roman"/>
        </w:rPr>
        <w:t xml:space="preserve">78 times </w:t>
      </w:r>
      <w:r w:rsidR="002468F0" w:rsidRPr="00814236">
        <w:rPr>
          <w:rFonts w:cs="Times New Roman"/>
        </w:rPr>
        <w:t>less</w:t>
      </w:r>
      <w:r w:rsidRPr="00814236">
        <w:rPr>
          <w:rFonts w:cs="Times New Roman"/>
        </w:rPr>
        <w:t xml:space="preserve"> </w:t>
      </w:r>
      <w:r w:rsidR="00DC047B">
        <w:rPr>
          <w:rFonts w:cs="Times New Roman"/>
        </w:rPr>
        <w:t xml:space="preserve">in terms of </w:t>
      </w:r>
      <w:r w:rsidRPr="00814236">
        <w:rPr>
          <w:rFonts w:cs="Times New Roman"/>
        </w:rPr>
        <w:t xml:space="preserve">compensation for the flexibility before it would become </w:t>
      </w:r>
      <w:r w:rsidR="00CE24CE">
        <w:rPr>
          <w:rFonts w:cs="Times New Roman"/>
        </w:rPr>
        <w:t>un</w:t>
      </w:r>
      <w:r w:rsidRPr="00814236">
        <w:rPr>
          <w:rFonts w:cs="Times New Roman"/>
        </w:rPr>
        <w:t xml:space="preserve">interesting to </w:t>
      </w:r>
      <w:r w:rsidR="00CE24CE">
        <w:rPr>
          <w:rFonts w:cs="Times New Roman"/>
        </w:rPr>
        <w:t>make</w:t>
      </w:r>
      <w:r w:rsidRPr="00814236">
        <w:rPr>
          <w:rFonts w:cs="Times New Roman"/>
        </w:rPr>
        <w:t xml:space="preserve"> the investment. </w:t>
      </w:r>
      <w:r w:rsidR="00CE24CE">
        <w:rPr>
          <w:rFonts w:cs="Times New Roman"/>
        </w:rPr>
        <w:t>Given</w:t>
      </w:r>
      <w:r w:rsidR="00BA702C" w:rsidRPr="00814236">
        <w:rPr>
          <w:rFonts w:cs="Times New Roman"/>
        </w:rPr>
        <w:t xml:space="preserve"> the increasing need for negative compensation (more energy usage </w:t>
      </w:r>
      <w:r w:rsidR="00CE24CE">
        <w:rPr>
          <w:rFonts w:cs="Times New Roman"/>
        </w:rPr>
        <w:t xml:space="preserve">where </w:t>
      </w:r>
      <w:r w:rsidR="00BA702C" w:rsidRPr="00814236">
        <w:rPr>
          <w:rFonts w:cs="Times New Roman"/>
        </w:rPr>
        <w:t xml:space="preserve">there is </w:t>
      </w:r>
      <w:r w:rsidR="00F151A3" w:rsidRPr="00814236">
        <w:rPr>
          <w:rFonts w:cs="Times New Roman"/>
        </w:rPr>
        <w:t>too</w:t>
      </w:r>
      <w:r w:rsidR="00BA702C" w:rsidRPr="00814236">
        <w:rPr>
          <w:rFonts w:cs="Times New Roman"/>
        </w:rPr>
        <w:t xml:space="preserve"> much energy on the net </w:t>
      </w:r>
      <w:r w:rsidR="00CE24CE">
        <w:rPr>
          <w:rFonts w:cs="Times New Roman"/>
        </w:rPr>
        <w:t xml:space="preserve">that </w:t>
      </w:r>
      <w:r w:rsidR="00BA702C" w:rsidRPr="00814236">
        <w:rPr>
          <w:rFonts w:cs="Times New Roman"/>
        </w:rPr>
        <w:t>needs to be compensated</w:t>
      </w:r>
      <w:r w:rsidR="00CE24CE">
        <w:rPr>
          <w:rFonts w:cs="Times New Roman"/>
        </w:rPr>
        <w:t xml:space="preserve"> for</w:t>
      </w:r>
      <w:r w:rsidR="00BA702C" w:rsidRPr="00814236">
        <w:rPr>
          <w:rFonts w:cs="Times New Roman"/>
        </w:rPr>
        <w:t xml:space="preserve">) and the </w:t>
      </w:r>
      <w:r w:rsidR="00F151A3" w:rsidRPr="00814236">
        <w:rPr>
          <w:rFonts w:cs="Times New Roman"/>
        </w:rPr>
        <w:t>ever-growing</w:t>
      </w:r>
      <w:r w:rsidR="00BA702C" w:rsidRPr="00814236">
        <w:rPr>
          <w:rFonts w:cs="Times New Roman"/>
        </w:rPr>
        <w:t xml:space="preserve"> implementation of renewable energy sources, the worst</w:t>
      </w:r>
      <w:r w:rsidR="00CE24CE">
        <w:rPr>
          <w:rFonts w:cs="Times New Roman"/>
        </w:rPr>
        <w:t>-</w:t>
      </w:r>
      <w:r w:rsidR="00BA702C" w:rsidRPr="00814236">
        <w:rPr>
          <w:rFonts w:cs="Times New Roman"/>
        </w:rPr>
        <w:t xml:space="preserve">case scenario is very </w:t>
      </w:r>
      <w:proofErr w:type="gramStart"/>
      <w:r w:rsidR="00BA702C" w:rsidRPr="00814236">
        <w:rPr>
          <w:rFonts w:cs="Times New Roman"/>
        </w:rPr>
        <w:t>unlikely</w:t>
      </w:r>
      <w:proofErr w:type="gramEnd"/>
      <w:r w:rsidR="00BA702C" w:rsidRPr="00814236">
        <w:rPr>
          <w:rFonts w:cs="Times New Roman"/>
        </w:rPr>
        <w:t xml:space="preserve"> and the investment is solid. </w:t>
      </w:r>
    </w:p>
    <w:p w14:paraId="3EEE367D" w14:textId="7995B49B" w:rsidR="00C53BAB" w:rsidRPr="00814236" w:rsidRDefault="00C53BAB" w:rsidP="00141F1C">
      <w:pPr>
        <w:pStyle w:val="Caption"/>
        <w:keepNext/>
      </w:pP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79"/>
        <w:gridCol w:w="2284"/>
        <w:gridCol w:w="1483"/>
        <w:gridCol w:w="1268"/>
      </w:tblGrid>
      <w:tr w:rsidR="00FB735C" w:rsidRPr="00814236" w14:paraId="3E3E926D" w14:textId="77777777" w:rsidTr="00870068">
        <w:trPr>
          <w:trHeight w:val="563"/>
          <w:jc w:val="center"/>
        </w:trPr>
        <w:tc>
          <w:tcPr>
            <w:tcW w:w="3179" w:type="dxa"/>
            <w:tcBorders>
              <w:top w:val="single" w:sz="4" w:space="0" w:color="auto"/>
              <w:bottom w:val="single" w:sz="4" w:space="0" w:color="auto"/>
            </w:tcBorders>
          </w:tcPr>
          <w:p w14:paraId="6640404D" w14:textId="4A956926" w:rsidR="00FB735C" w:rsidRPr="00814236" w:rsidRDefault="00FB735C" w:rsidP="00A907D5">
            <w:pPr>
              <w:spacing w:line="240" w:lineRule="auto"/>
              <w:rPr>
                <w:rFonts w:cs="Times New Roman"/>
              </w:rPr>
            </w:pPr>
            <w:r w:rsidRPr="00814236">
              <w:rPr>
                <w:rFonts w:cs="Times New Roman"/>
              </w:rPr>
              <w:t>Scenario</w:t>
            </w:r>
          </w:p>
        </w:tc>
        <w:tc>
          <w:tcPr>
            <w:tcW w:w="2284" w:type="dxa"/>
            <w:tcBorders>
              <w:top w:val="single" w:sz="4" w:space="0" w:color="auto"/>
              <w:bottom w:val="single" w:sz="4" w:space="0" w:color="auto"/>
            </w:tcBorders>
          </w:tcPr>
          <w:p w14:paraId="05CFFB61" w14:textId="03570F22" w:rsidR="00FB735C" w:rsidRPr="00814236" w:rsidRDefault="00FB735C" w:rsidP="00A907D5">
            <w:pPr>
              <w:spacing w:line="240" w:lineRule="auto"/>
              <w:jc w:val="left"/>
              <w:rPr>
                <w:rFonts w:cs="Times New Roman"/>
              </w:rPr>
            </w:pPr>
            <w:r w:rsidRPr="00814236">
              <w:rPr>
                <w:rFonts w:cs="Times New Roman"/>
              </w:rPr>
              <w:t>Flex revenue [Euro]</w:t>
            </w:r>
          </w:p>
        </w:tc>
        <w:tc>
          <w:tcPr>
            <w:tcW w:w="1483" w:type="dxa"/>
            <w:tcBorders>
              <w:top w:val="single" w:sz="4" w:space="0" w:color="auto"/>
              <w:bottom w:val="single" w:sz="4" w:space="0" w:color="auto"/>
            </w:tcBorders>
          </w:tcPr>
          <w:p w14:paraId="49EFADED" w14:textId="5D830126" w:rsidR="00FB735C" w:rsidRPr="00814236" w:rsidRDefault="00FB735C" w:rsidP="00A907D5">
            <w:pPr>
              <w:spacing w:line="240" w:lineRule="auto"/>
              <w:rPr>
                <w:rFonts w:cs="Times New Roman"/>
              </w:rPr>
            </w:pPr>
            <w:r w:rsidRPr="00814236">
              <w:rPr>
                <w:rFonts w:cs="Times New Roman"/>
              </w:rPr>
              <w:t>NPV [Euro]</w:t>
            </w:r>
          </w:p>
        </w:tc>
        <w:tc>
          <w:tcPr>
            <w:tcW w:w="1268" w:type="dxa"/>
            <w:tcBorders>
              <w:top w:val="single" w:sz="4" w:space="0" w:color="auto"/>
              <w:bottom w:val="single" w:sz="4" w:space="0" w:color="auto"/>
            </w:tcBorders>
          </w:tcPr>
          <w:p w14:paraId="0AF042C7" w14:textId="5556B255" w:rsidR="00FB735C" w:rsidRPr="00814236" w:rsidRDefault="00FB735C" w:rsidP="00A907D5">
            <w:pPr>
              <w:spacing w:line="240" w:lineRule="auto"/>
              <w:rPr>
                <w:rFonts w:cs="Times New Roman"/>
              </w:rPr>
            </w:pPr>
            <w:r w:rsidRPr="00814236">
              <w:rPr>
                <w:rFonts w:cs="Times New Roman"/>
              </w:rPr>
              <w:t>IRR [%]</w:t>
            </w:r>
          </w:p>
        </w:tc>
      </w:tr>
      <w:tr w:rsidR="00FB735C" w:rsidRPr="00814236" w14:paraId="5C5467DF" w14:textId="77777777" w:rsidTr="00870068">
        <w:trPr>
          <w:trHeight w:val="530"/>
          <w:jc w:val="center"/>
        </w:trPr>
        <w:tc>
          <w:tcPr>
            <w:tcW w:w="3179" w:type="dxa"/>
            <w:tcBorders>
              <w:top w:val="single" w:sz="4" w:space="0" w:color="auto"/>
            </w:tcBorders>
          </w:tcPr>
          <w:p w14:paraId="01843A0A" w14:textId="556D35E5" w:rsidR="00FB735C" w:rsidRPr="00814236" w:rsidRDefault="00FB735C" w:rsidP="00A907D5">
            <w:pPr>
              <w:spacing w:line="240" w:lineRule="auto"/>
              <w:rPr>
                <w:rFonts w:cs="Times New Roman"/>
              </w:rPr>
            </w:pPr>
            <w:r w:rsidRPr="00814236">
              <w:rPr>
                <w:rFonts w:cs="Times New Roman"/>
              </w:rPr>
              <w:t>Flex revenue is constant.</w:t>
            </w:r>
          </w:p>
        </w:tc>
        <w:tc>
          <w:tcPr>
            <w:tcW w:w="2284" w:type="dxa"/>
            <w:tcBorders>
              <w:top w:val="single" w:sz="4" w:space="0" w:color="auto"/>
            </w:tcBorders>
          </w:tcPr>
          <w:p w14:paraId="61B27017" w14:textId="2C1CBD1D" w:rsidR="00FB735C" w:rsidRPr="00814236" w:rsidRDefault="00FB735C" w:rsidP="00A907D5">
            <w:pPr>
              <w:spacing w:line="240" w:lineRule="auto"/>
              <w:jc w:val="center"/>
              <w:rPr>
                <w:rFonts w:cs="Times New Roman"/>
              </w:rPr>
            </w:pPr>
            <w:r w:rsidRPr="00814236">
              <w:rPr>
                <w:rFonts w:cs="Times New Roman"/>
              </w:rPr>
              <w:t>2350.70</w:t>
            </w:r>
          </w:p>
        </w:tc>
        <w:tc>
          <w:tcPr>
            <w:tcW w:w="1483" w:type="dxa"/>
            <w:tcBorders>
              <w:top w:val="single" w:sz="4" w:space="0" w:color="auto"/>
            </w:tcBorders>
            <w:vAlign w:val="center"/>
          </w:tcPr>
          <w:p w14:paraId="48B34E53" w14:textId="16EB7349" w:rsidR="00FB735C" w:rsidRPr="00814236" w:rsidRDefault="00FB735C" w:rsidP="00A907D5">
            <w:pPr>
              <w:spacing w:line="240" w:lineRule="auto"/>
              <w:jc w:val="center"/>
              <w:rPr>
                <w:rFonts w:cs="Times New Roman"/>
              </w:rPr>
            </w:pPr>
            <w:r w:rsidRPr="00814236">
              <w:rPr>
                <w:rFonts w:cs="Times New Roman"/>
              </w:rPr>
              <w:t>9561.94</w:t>
            </w:r>
          </w:p>
        </w:tc>
        <w:tc>
          <w:tcPr>
            <w:tcW w:w="1268" w:type="dxa"/>
            <w:tcBorders>
              <w:top w:val="single" w:sz="4" w:space="0" w:color="auto"/>
            </w:tcBorders>
            <w:vAlign w:val="center"/>
          </w:tcPr>
          <w:p w14:paraId="21D0A4F1" w14:textId="7A0454A5" w:rsidR="00FB735C" w:rsidRPr="00814236" w:rsidRDefault="00FB735C" w:rsidP="00A907D5">
            <w:pPr>
              <w:spacing w:line="240" w:lineRule="auto"/>
              <w:jc w:val="center"/>
              <w:rPr>
                <w:rFonts w:cs="Times New Roman"/>
              </w:rPr>
            </w:pPr>
            <w:r w:rsidRPr="00814236">
              <w:rPr>
                <w:rFonts w:cs="Times New Roman"/>
              </w:rPr>
              <w:t>1492</w:t>
            </w:r>
          </w:p>
        </w:tc>
      </w:tr>
      <w:tr w:rsidR="00FB735C" w:rsidRPr="00814236" w14:paraId="4AB3C423" w14:textId="77777777" w:rsidTr="00870068">
        <w:trPr>
          <w:trHeight w:val="519"/>
          <w:jc w:val="center"/>
        </w:trPr>
        <w:tc>
          <w:tcPr>
            <w:tcW w:w="3179" w:type="dxa"/>
          </w:tcPr>
          <w:p w14:paraId="747D4CD6" w14:textId="35758C1D" w:rsidR="00FB735C" w:rsidRPr="00814236" w:rsidRDefault="00FB735C" w:rsidP="00A907D5">
            <w:pPr>
              <w:spacing w:line="240" w:lineRule="auto"/>
              <w:rPr>
                <w:rFonts w:cs="Times New Roman"/>
              </w:rPr>
            </w:pPr>
            <w:r w:rsidRPr="00814236">
              <w:rPr>
                <w:rFonts w:cs="Times New Roman"/>
              </w:rPr>
              <w:t>Flex revenue 3 times less.</w:t>
            </w:r>
          </w:p>
        </w:tc>
        <w:tc>
          <w:tcPr>
            <w:tcW w:w="2284" w:type="dxa"/>
          </w:tcPr>
          <w:p w14:paraId="5DDDF2A7" w14:textId="59FD4FDE" w:rsidR="00FB735C" w:rsidRPr="00814236" w:rsidRDefault="00FB735C" w:rsidP="00A907D5">
            <w:pPr>
              <w:spacing w:line="240" w:lineRule="auto"/>
              <w:jc w:val="center"/>
              <w:rPr>
                <w:rFonts w:cs="Times New Roman"/>
              </w:rPr>
            </w:pPr>
            <w:r w:rsidRPr="00814236">
              <w:rPr>
                <w:rFonts w:cs="Times New Roman"/>
              </w:rPr>
              <w:t>783.57</w:t>
            </w:r>
          </w:p>
        </w:tc>
        <w:tc>
          <w:tcPr>
            <w:tcW w:w="1483" w:type="dxa"/>
            <w:vAlign w:val="center"/>
          </w:tcPr>
          <w:p w14:paraId="05F997D8" w14:textId="15830184" w:rsidR="00FB735C" w:rsidRPr="00814236" w:rsidRDefault="00FB735C" w:rsidP="00A907D5">
            <w:pPr>
              <w:spacing w:line="240" w:lineRule="auto"/>
              <w:jc w:val="center"/>
              <w:rPr>
                <w:rFonts w:cs="Times New Roman"/>
              </w:rPr>
            </w:pPr>
            <w:r w:rsidRPr="00814236">
              <w:rPr>
                <w:rFonts w:cs="Times New Roman"/>
              </w:rPr>
              <w:t>894.61</w:t>
            </w:r>
          </w:p>
        </w:tc>
        <w:tc>
          <w:tcPr>
            <w:tcW w:w="1268" w:type="dxa"/>
            <w:vAlign w:val="center"/>
          </w:tcPr>
          <w:p w14:paraId="5342F4BC" w14:textId="027F8DC7" w:rsidR="00FB735C" w:rsidRPr="00814236" w:rsidRDefault="00FB735C" w:rsidP="00A907D5">
            <w:pPr>
              <w:spacing w:line="240" w:lineRule="auto"/>
              <w:jc w:val="center"/>
              <w:rPr>
                <w:rFonts w:cs="Times New Roman"/>
              </w:rPr>
            </w:pPr>
            <w:r w:rsidRPr="00814236">
              <w:rPr>
                <w:rFonts w:cs="Times New Roman"/>
              </w:rPr>
              <w:t>163</w:t>
            </w:r>
          </w:p>
        </w:tc>
      </w:tr>
      <w:tr w:rsidR="00FB735C" w:rsidRPr="00814236" w14:paraId="18CBEF78" w14:textId="77777777" w:rsidTr="00870068">
        <w:trPr>
          <w:trHeight w:val="519"/>
          <w:jc w:val="center"/>
        </w:trPr>
        <w:tc>
          <w:tcPr>
            <w:tcW w:w="3179" w:type="dxa"/>
          </w:tcPr>
          <w:p w14:paraId="47F4636D" w14:textId="14B3D8A3" w:rsidR="00FB735C" w:rsidRPr="00814236" w:rsidRDefault="00FB735C" w:rsidP="00A907D5">
            <w:pPr>
              <w:spacing w:line="240" w:lineRule="auto"/>
              <w:rPr>
                <w:rFonts w:cs="Times New Roman"/>
              </w:rPr>
            </w:pPr>
            <w:r w:rsidRPr="00814236">
              <w:rPr>
                <w:rFonts w:cs="Times New Roman"/>
              </w:rPr>
              <w:t>Minimal flex revenue required</w:t>
            </w:r>
          </w:p>
        </w:tc>
        <w:tc>
          <w:tcPr>
            <w:tcW w:w="2284" w:type="dxa"/>
          </w:tcPr>
          <w:p w14:paraId="362376F9" w14:textId="7B208612" w:rsidR="00FB735C" w:rsidRPr="00814236" w:rsidRDefault="00FB735C" w:rsidP="00A907D5">
            <w:pPr>
              <w:spacing w:line="240" w:lineRule="auto"/>
              <w:jc w:val="center"/>
              <w:rPr>
                <w:rFonts w:cs="Times New Roman"/>
              </w:rPr>
            </w:pPr>
            <w:r w:rsidRPr="00814236">
              <w:rPr>
                <w:rFonts w:cs="Times New Roman"/>
              </w:rPr>
              <w:t>621.81</w:t>
            </w:r>
          </w:p>
        </w:tc>
        <w:tc>
          <w:tcPr>
            <w:tcW w:w="1483" w:type="dxa"/>
            <w:vAlign w:val="center"/>
          </w:tcPr>
          <w:p w14:paraId="059725FE" w14:textId="26B2D85F" w:rsidR="00FB735C" w:rsidRPr="00814236" w:rsidRDefault="00FB735C" w:rsidP="00A907D5">
            <w:pPr>
              <w:spacing w:line="240" w:lineRule="auto"/>
              <w:jc w:val="center"/>
              <w:rPr>
                <w:rFonts w:cs="Times New Roman"/>
              </w:rPr>
            </w:pPr>
            <w:r w:rsidRPr="00814236">
              <w:rPr>
                <w:rFonts w:cs="Times New Roman"/>
              </w:rPr>
              <w:t>0</w:t>
            </w:r>
          </w:p>
        </w:tc>
        <w:tc>
          <w:tcPr>
            <w:tcW w:w="1268" w:type="dxa"/>
            <w:vAlign w:val="center"/>
          </w:tcPr>
          <w:p w14:paraId="12992923" w14:textId="3ECECA25" w:rsidR="00FB735C" w:rsidRPr="00814236" w:rsidRDefault="00FB735C" w:rsidP="00A907D5">
            <w:pPr>
              <w:spacing w:line="240" w:lineRule="auto"/>
              <w:jc w:val="center"/>
              <w:rPr>
                <w:rFonts w:cs="Times New Roman"/>
              </w:rPr>
            </w:pPr>
            <w:r w:rsidRPr="00814236">
              <w:rPr>
                <w:rFonts w:cs="Times New Roman"/>
              </w:rPr>
              <w:t>12</w:t>
            </w:r>
          </w:p>
        </w:tc>
      </w:tr>
      <w:tr w:rsidR="00CA1BA9" w:rsidRPr="00814236" w14:paraId="3BE31EC3" w14:textId="77777777" w:rsidTr="00870068">
        <w:trPr>
          <w:trHeight w:val="519"/>
          <w:jc w:val="center"/>
        </w:trPr>
        <w:tc>
          <w:tcPr>
            <w:tcW w:w="3179" w:type="dxa"/>
          </w:tcPr>
          <w:p w14:paraId="698084B9" w14:textId="2A7ADC59" w:rsidR="00CA1BA9" w:rsidRPr="00814236" w:rsidRDefault="00CA1BA9" w:rsidP="00A907D5">
            <w:pPr>
              <w:spacing w:line="240" w:lineRule="auto"/>
              <w:rPr>
                <w:rFonts w:cs="Times New Roman"/>
              </w:rPr>
            </w:pPr>
            <w:r w:rsidRPr="00814236">
              <w:rPr>
                <w:rFonts w:cs="Times New Roman"/>
              </w:rPr>
              <w:t>Better insulated boiler</w:t>
            </w:r>
          </w:p>
        </w:tc>
        <w:tc>
          <w:tcPr>
            <w:tcW w:w="2284" w:type="dxa"/>
          </w:tcPr>
          <w:p w14:paraId="02708A59" w14:textId="73064DB6" w:rsidR="00CA1BA9" w:rsidRPr="00814236" w:rsidRDefault="00CA1BA9" w:rsidP="00A907D5">
            <w:pPr>
              <w:spacing w:line="240" w:lineRule="auto"/>
              <w:jc w:val="center"/>
              <w:rPr>
                <w:rFonts w:cs="Times New Roman"/>
              </w:rPr>
            </w:pPr>
            <w:r w:rsidRPr="00814236">
              <w:rPr>
                <w:rFonts w:cs="Times New Roman"/>
              </w:rPr>
              <w:t>2078.60</w:t>
            </w:r>
          </w:p>
        </w:tc>
        <w:tc>
          <w:tcPr>
            <w:tcW w:w="1483" w:type="dxa"/>
            <w:vAlign w:val="center"/>
          </w:tcPr>
          <w:p w14:paraId="32782358" w14:textId="0474661E" w:rsidR="00CA1BA9" w:rsidRPr="00814236" w:rsidRDefault="00CA1BA9" w:rsidP="00A907D5">
            <w:pPr>
              <w:spacing w:line="240" w:lineRule="auto"/>
              <w:jc w:val="center"/>
              <w:rPr>
                <w:rFonts w:cs="Times New Roman"/>
              </w:rPr>
            </w:pPr>
            <w:r w:rsidRPr="00814236">
              <w:rPr>
                <w:rFonts w:cs="Times New Roman"/>
              </w:rPr>
              <w:t>19625.33</w:t>
            </w:r>
          </w:p>
        </w:tc>
        <w:tc>
          <w:tcPr>
            <w:tcW w:w="1268" w:type="dxa"/>
            <w:vAlign w:val="center"/>
          </w:tcPr>
          <w:p w14:paraId="45F0A47D" w14:textId="59D745C0" w:rsidR="00CA1BA9" w:rsidRPr="00814236" w:rsidRDefault="00CA1BA9" w:rsidP="00A907D5">
            <w:pPr>
              <w:spacing w:line="240" w:lineRule="auto"/>
              <w:jc w:val="center"/>
              <w:rPr>
                <w:rFonts w:cs="Times New Roman"/>
              </w:rPr>
            </w:pPr>
            <w:r w:rsidRPr="00814236">
              <w:rPr>
                <w:rFonts w:cs="Times New Roman"/>
              </w:rPr>
              <w:t>1394</w:t>
            </w:r>
          </w:p>
        </w:tc>
      </w:tr>
    </w:tbl>
    <w:p w14:paraId="664421CD" w14:textId="4313EA5E" w:rsidR="00640C27" w:rsidRPr="00A907D5" w:rsidRDefault="003C4BAB" w:rsidP="003C4BAB">
      <w:pPr>
        <w:pStyle w:val="Caption"/>
        <w:rPr>
          <w:i/>
          <w:sz w:val="20"/>
          <w:szCs w:val="20"/>
        </w:rPr>
      </w:pPr>
      <w:bookmarkStart w:id="38" w:name="_Toc7168698"/>
      <w:bookmarkStart w:id="39" w:name="_Toc528960165"/>
      <w:r>
        <w:t xml:space="preserve">Table </w:t>
      </w:r>
      <w:fldSimple w:instr=" SEQ Table \* ARABIC ">
        <w:r>
          <w:rPr>
            <w:noProof/>
          </w:rPr>
          <w:t>4</w:t>
        </w:r>
      </w:fldSimple>
      <w:r w:rsidRPr="00A907D5">
        <w:rPr>
          <w:i/>
          <w:sz w:val="20"/>
          <w:szCs w:val="20"/>
        </w:rPr>
        <w:t xml:space="preserve">. </w:t>
      </w:r>
      <w:r w:rsidRPr="003C4BAB">
        <w:rPr>
          <w:sz w:val="20"/>
          <w:szCs w:val="20"/>
        </w:rPr>
        <w:t>Overview of the NPV for different scenarios</w:t>
      </w:r>
      <w:bookmarkEnd w:id="38"/>
    </w:p>
    <w:p w14:paraId="3815CC36" w14:textId="250BDF78" w:rsidR="00042DB3" w:rsidRPr="00814236" w:rsidRDefault="006D6C0A" w:rsidP="003C3CA0">
      <w:pPr>
        <w:pStyle w:val="Heading1"/>
      </w:pPr>
      <w:bookmarkStart w:id="40" w:name="_Toc7096541"/>
      <w:r w:rsidRPr="00814236">
        <w:t>Conclusion</w:t>
      </w:r>
      <w:bookmarkEnd w:id="39"/>
      <w:bookmarkEnd w:id="40"/>
    </w:p>
    <w:p w14:paraId="236596D3" w14:textId="1ECCEAED" w:rsidR="00592C2C" w:rsidRPr="00814236" w:rsidRDefault="001D6CFC" w:rsidP="00141F1C">
      <w:pPr>
        <w:rPr>
          <w:rFonts w:cs="Times New Roman"/>
        </w:rPr>
      </w:pPr>
      <w:r w:rsidRPr="00814236">
        <w:rPr>
          <w:rFonts w:cs="Times New Roman"/>
        </w:rPr>
        <w:t>From an economic perspective</w:t>
      </w:r>
      <w:r w:rsidR="00427657" w:rsidRPr="00814236">
        <w:rPr>
          <w:rFonts w:cs="Times New Roman"/>
        </w:rPr>
        <w:t>,</w:t>
      </w:r>
      <w:r w:rsidRPr="00814236">
        <w:rPr>
          <w:rFonts w:cs="Times New Roman"/>
        </w:rPr>
        <w:t xml:space="preserve"> it makes sense to participate in </w:t>
      </w:r>
      <w:r w:rsidR="00427657" w:rsidRPr="00814236">
        <w:rPr>
          <w:rFonts w:cs="Times New Roman"/>
        </w:rPr>
        <w:t>DR</w:t>
      </w:r>
      <w:r w:rsidRPr="00814236">
        <w:rPr>
          <w:rFonts w:cs="Times New Roman"/>
        </w:rPr>
        <w:t xml:space="preserve"> using electrical boiler</w:t>
      </w:r>
      <w:r w:rsidR="0070755F" w:rsidRPr="00814236">
        <w:rPr>
          <w:rFonts w:cs="Times New Roman"/>
        </w:rPr>
        <w:t xml:space="preserve">s. </w:t>
      </w:r>
      <w:r w:rsidR="007033E8" w:rsidRPr="00814236">
        <w:rPr>
          <w:rFonts w:cs="Times New Roman"/>
        </w:rPr>
        <w:t>The assumption is made that the electrical boiler receives the state of the net con</w:t>
      </w:r>
      <w:r w:rsidR="00427657" w:rsidRPr="00814236">
        <w:rPr>
          <w:rFonts w:cs="Times New Roman"/>
        </w:rPr>
        <w:t>tinuously</w:t>
      </w:r>
      <w:r w:rsidR="007033E8" w:rsidRPr="00814236">
        <w:rPr>
          <w:rFonts w:cs="Times New Roman"/>
        </w:rPr>
        <w:t xml:space="preserve">. </w:t>
      </w:r>
      <w:r w:rsidR="00427657" w:rsidRPr="00814236">
        <w:rPr>
          <w:rFonts w:cs="Times New Roman"/>
        </w:rPr>
        <w:t>T</w:t>
      </w:r>
      <w:r w:rsidR="007033E8" w:rsidRPr="00814236">
        <w:rPr>
          <w:rFonts w:cs="Times New Roman"/>
        </w:rPr>
        <w:t xml:space="preserve">he controller </w:t>
      </w:r>
      <w:r w:rsidR="00427657" w:rsidRPr="00814236">
        <w:rPr>
          <w:rFonts w:cs="Times New Roman"/>
        </w:rPr>
        <w:t xml:space="preserve">then </w:t>
      </w:r>
      <w:r w:rsidR="007033E8" w:rsidRPr="00814236">
        <w:rPr>
          <w:rFonts w:cs="Times New Roman"/>
        </w:rPr>
        <w:t xml:space="preserve">calculates the possibility </w:t>
      </w:r>
      <w:r w:rsidR="00427657" w:rsidRPr="00814236">
        <w:rPr>
          <w:rFonts w:cs="Times New Roman"/>
        </w:rPr>
        <w:t>of</w:t>
      </w:r>
      <w:r w:rsidR="007033E8" w:rsidRPr="00814236">
        <w:rPr>
          <w:rFonts w:cs="Times New Roman"/>
        </w:rPr>
        <w:t xml:space="preserve"> participat</w:t>
      </w:r>
      <w:r w:rsidR="00427657" w:rsidRPr="00814236">
        <w:rPr>
          <w:rFonts w:cs="Times New Roman"/>
        </w:rPr>
        <w:t>ing</w:t>
      </w:r>
      <w:r w:rsidR="007033E8" w:rsidRPr="00814236">
        <w:rPr>
          <w:rFonts w:cs="Times New Roman"/>
        </w:rPr>
        <w:t xml:space="preserve"> and participates </w:t>
      </w:r>
      <w:r w:rsidR="00427657" w:rsidRPr="00814236">
        <w:rPr>
          <w:rFonts w:cs="Times New Roman"/>
        </w:rPr>
        <w:t>when it is</w:t>
      </w:r>
      <w:r w:rsidR="007033E8" w:rsidRPr="00814236">
        <w:rPr>
          <w:rFonts w:cs="Times New Roman"/>
        </w:rPr>
        <w:t xml:space="preserve"> economic</w:t>
      </w:r>
      <w:r w:rsidR="00427657" w:rsidRPr="00814236">
        <w:rPr>
          <w:rFonts w:cs="Times New Roman"/>
        </w:rPr>
        <w:t>ally</w:t>
      </w:r>
      <w:r w:rsidR="007033E8" w:rsidRPr="00814236">
        <w:rPr>
          <w:rFonts w:cs="Times New Roman"/>
        </w:rPr>
        <w:t xml:space="preserve"> </w:t>
      </w:r>
      <w:r w:rsidR="005927F9" w:rsidRPr="00814236">
        <w:rPr>
          <w:rFonts w:cs="Times New Roman"/>
        </w:rPr>
        <w:t>favourable</w:t>
      </w:r>
      <w:r w:rsidR="007033E8" w:rsidRPr="00814236">
        <w:rPr>
          <w:rFonts w:cs="Times New Roman"/>
        </w:rPr>
        <w:t xml:space="preserve">. </w:t>
      </w:r>
      <w:r w:rsidR="00CE24CE">
        <w:rPr>
          <w:rFonts w:cs="Times New Roman"/>
        </w:rPr>
        <w:t xml:space="preserve">Given </w:t>
      </w:r>
      <w:r w:rsidR="00592C2C" w:rsidRPr="00814236">
        <w:rPr>
          <w:rFonts w:cs="Times New Roman"/>
        </w:rPr>
        <w:t xml:space="preserve">the increasing implementation of renewable energy sources and </w:t>
      </w:r>
      <w:r w:rsidR="00CE24CE">
        <w:rPr>
          <w:rFonts w:cs="Times New Roman"/>
        </w:rPr>
        <w:t xml:space="preserve">given that </w:t>
      </w:r>
      <w:r w:rsidR="00592C2C" w:rsidRPr="00814236">
        <w:rPr>
          <w:rFonts w:cs="Times New Roman"/>
        </w:rPr>
        <w:t>the policy that is being enforced will increase the need for regulation</w:t>
      </w:r>
      <w:r w:rsidR="006452A6">
        <w:rPr>
          <w:rFonts w:cs="Times New Roman"/>
        </w:rPr>
        <w:t>, a</w:t>
      </w:r>
      <w:r w:rsidR="00592C2C" w:rsidRPr="00814236">
        <w:rPr>
          <w:rFonts w:cs="Times New Roman"/>
        </w:rPr>
        <w:t xml:space="preserve"> volume from different sources</w:t>
      </w:r>
      <w:r w:rsidR="007D5A53" w:rsidRPr="00814236">
        <w:rPr>
          <w:rFonts w:cs="Times New Roman"/>
        </w:rPr>
        <w:t xml:space="preserve"> is needed</w:t>
      </w:r>
      <w:r w:rsidR="00592C2C" w:rsidRPr="00814236">
        <w:rPr>
          <w:rFonts w:cs="Times New Roman"/>
        </w:rPr>
        <w:t xml:space="preserve">. </w:t>
      </w:r>
    </w:p>
    <w:p w14:paraId="416ADF51" w14:textId="2709ED95" w:rsidR="00A41ABE" w:rsidRPr="00814236" w:rsidRDefault="00427657" w:rsidP="00141F1C">
      <w:pPr>
        <w:rPr>
          <w:rFonts w:cs="Times New Roman"/>
        </w:rPr>
      </w:pPr>
      <w:r w:rsidRPr="00814236">
        <w:rPr>
          <w:rFonts w:cs="Times New Roman"/>
        </w:rPr>
        <w:t>In practice</w:t>
      </w:r>
      <w:r w:rsidR="006452A6">
        <w:rPr>
          <w:rFonts w:cs="Times New Roman"/>
        </w:rPr>
        <w:t>,</w:t>
      </w:r>
      <w:r w:rsidR="000F74E5" w:rsidRPr="00814236">
        <w:rPr>
          <w:rFonts w:cs="Times New Roman"/>
        </w:rPr>
        <w:t xml:space="preserve"> there</w:t>
      </w:r>
      <w:r w:rsidR="00DD1494" w:rsidRPr="00814236">
        <w:rPr>
          <w:rFonts w:cs="Times New Roman"/>
        </w:rPr>
        <w:t xml:space="preserve"> </w:t>
      </w:r>
      <w:r w:rsidR="002D5015" w:rsidRPr="00814236">
        <w:rPr>
          <w:rFonts w:cs="Times New Roman"/>
        </w:rPr>
        <w:t>will</w:t>
      </w:r>
      <w:r w:rsidR="00DD1494" w:rsidRPr="00814236">
        <w:rPr>
          <w:rFonts w:cs="Times New Roman"/>
        </w:rPr>
        <w:t xml:space="preserve"> </w:t>
      </w:r>
      <w:r w:rsidR="006452A6">
        <w:rPr>
          <w:rFonts w:cs="Times New Roman"/>
        </w:rPr>
        <w:t xml:space="preserve">no doubt </w:t>
      </w:r>
      <w:r w:rsidR="002D5015" w:rsidRPr="00814236">
        <w:rPr>
          <w:rFonts w:cs="Times New Roman"/>
        </w:rPr>
        <w:t xml:space="preserve">be </w:t>
      </w:r>
      <w:r w:rsidR="00DD1494" w:rsidRPr="00814236">
        <w:rPr>
          <w:rFonts w:cs="Times New Roman"/>
        </w:rPr>
        <w:t>competition. Th</w:t>
      </w:r>
      <w:r w:rsidR="006452A6">
        <w:rPr>
          <w:rFonts w:cs="Times New Roman"/>
        </w:rPr>
        <w:t>is</w:t>
      </w:r>
      <w:r w:rsidR="00DD1494" w:rsidRPr="00814236">
        <w:rPr>
          <w:rFonts w:cs="Times New Roman"/>
        </w:rPr>
        <w:t xml:space="preserve"> competition </w:t>
      </w:r>
      <w:r w:rsidR="006452A6">
        <w:rPr>
          <w:rFonts w:cs="Times New Roman"/>
        </w:rPr>
        <w:t xml:space="preserve">will </w:t>
      </w:r>
      <w:r w:rsidR="00DD1494" w:rsidRPr="00814236">
        <w:rPr>
          <w:rFonts w:cs="Times New Roman"/>
        </w:rPr>
        <w:t>come from</w:t>
      </w:r>
      <w:r w:rsidR="007033E8" w:rsidRPr="00814236">
        <w:rPr>
          <w:rFonts w:cs="Times New Roman"/>
        </w:rPr>
        <w:t xml:space="preserve"> different installation</w:t>
      </w:r>
      <w:r w:rsidR="00DD1494" w:rsidRPr="00814236">
        <w:rPr>
          <w:rFonts w:cs="Times New Roman"/>
        </w:rPr>
        <w:t>s</w:t>
      </w:r>
      <w:r w:rsidR="007033E8" w:rsidRPr="00814236">
        <w:rPr>
          <w:rFonts w:cs="Times New Roman"/>
        </w:rPr>
        <w:t xml:space="preserve"> </w:t>
      </w:r>
      <w:r w:rsidRPr="00814236">
        <w:rPr>
          <w:rFonts w:cs="Times New Roman"/>
        </w:rPr>
        <w:t>that compete</w:t>
      </w:r>
      <w:r w:rsidR="007033E8" w:rsidRPr="00814236">
        <w:rPr>
          <w:rFonts w:cs="Times New Roman"/>
        </w:rPr>
        <w:t xml:space="preserve"> with each other</w:t>
      </w:r>
      <w:r w:rsidR="002D5015" w:rsidRPr="00814236">
        <w:rPr>
          <w:rFonts w:cs="Times New Roman"/>
        </w:rPr>
        <w:t xml:space="preserve"> in trying to sell their flexibility</w:t>
      </w:r>
      <w:r w:rsidR="006452A6">
        <w:rPr>
          <w:rFonts w:cs="Times New Roman"/>
        </w:rPr>
        <w:t xml:space="preserve">, which will </w:t>
      </w:r>
      <w:r w:rsidR="002D5015" w:rsidRPr="00814236">
        <w:rPr>
          <w:rFonts w:cs="Times New Roman"/>
        </w:rPr>
        <w:t xml:space="preserve">influence the pricing </w:t>
      </w:r>
      <w:r w:rsidR="006452A6">
        <w:rPr>
          <w:rFonts w:cs="Times New Roman"/>
        </w:rPr>
        <w:t>in relation to where</w:t>
      </w:r>
      <w:r w:rsidR="002D5015" w:rsidRPr="00814236">
        <w:rPr>
          <w:rFonts w:cs="Times New Roman"/>
        </w:rPr>
        <w:t xml:space="preserve"> imbalance compensation is bought </w:t>
      </w:r>
      <w:r w:rsidR="006452A6">
        <w:rPr>
          <w:rFonts w:cs="Times New Roman"/>
        </w:rPr>
        <w:t xml:space="preserve">due to </w:t>
      </w:r>
      <w:r w:rsidR="002D5015" w:rsidRPr="00814236">
        <w:rPr>
          <w:rFonts w:cs="Times New Roman"/>
        </w:rPr>
        <w:t xml:space="preserve">market </w:t>
      </w:r>
      <w:r w:rsidR="000F74E5" w:rsidRPr="00814236">
        <w:rPr>
          <w:rFonts w:cs="Times New Roman"/>
        </w:rPr>
        <w:t>functioning</w:t>
      </w:r>
      <w:r w:rsidR="002D5015" w:rsidRPr="00814236">
        <w:rPr>
          <w:rFonts w:cs="Times New Roman"/>
        </w:rPr>
        <w:t xml:space="preserve">. </w:t>
      </w:r>
      <w:r w:rsidR="00DD1494" w:rsidRPr="00814236">
        <w:rPr>
          <w:rFonts w:cs="Times New Roman"/>
        </w:rPr>
        <w:t>To cope with this,</w:t>
      </w:r>
      <w:r w:rsidR="007033E8" w:rsidRPr="00814236">
        <w:rPr>
          <w:rFonts w:cs="Times New Roman"/>
        </w:rPr>
        <w:t xml:space="preserve"> the analysis needs to be extended with </w:t>
      </w:r>
      <w:r w:rsidR="006452A6">
        <w:rPr>
          <w:rFonts w:cs="Times New Roman"/>
        </w:rPr>
        <w:t xml:space="preserve">the use of </w:t>
      </w:r>
      <w:r w:rsidR="007033E8" w:rsidRPr="00814236">
        <w:rPr>
          <w:rFonts w:cs="Times New Roman"/>
        </w:rPr>
        <w:t xml:space="preserve">a game theory model to estimate the feasibility under competition. </w:t>
      </w:r>
      <w:r w:rsidR="00D21747" w:rsidRPr="00814236">
        <w:rPr>
          <w:rFonts w:cs="Times New Roman"/>
        </w:rPr>
        <w:t xml:space="preserve">For </w:t>
      </w:r>
      <w:r w:rsidR="000F74E5" w:rsidRPr="00814236">
        <w:rPr>
          <w:rFonts w:cs="Times New Roman"/>
        </w:rPr>
        <w:t>now,</w:t>
      </w:r>
      <w:r w:rsidR="00D21747" w:rsidRPr="00814236">
        <w:rPr>
          <w:rFonts w:cs="Times New Roman"/>
        </w:rPr>
        <w:t xml:space="preserve"> we assumed that the pricing can be 3</w:t>
      </w:r>
      <w:r w:rsidR="006452A6">
        <w:rPr>
          <w:rFonts w:cs="Times New Roman"/>
        </w:rPr>
        <w:t>.</w:t>
      </w:r>
      <w:r w:rsidR="00D21747" w:rsidRPr="00814236">
        <w:rPr>
          <w:rFonts w:cs="Times New Roman"/>
        </w:rPr>
        <w:t xml:space="preserve">78 times lower as the current pricing and still </w:t>
      </w:r>
      <w:r w:rsidR="006452A6">
        <w:rPr>
          <w:rFonts w:cs="Times New Roman"/>
        </w:rPr>
        <w:t xml:space="preserve">make it </w:t>
      </w:r>
      <w:r w:rsidR="00D21747" w:rsidRPr="00814236">
        <w:rPr>
          <w:rFonts w:cs="Times New Roman"/>
        </w:rPr>
        <w:t>interesting to participate in demand response and sell the flexibility</w:t>
      </w:r>
      <w:r w:rsidR="006452A6">
        <w:rPr>
          <w:rFonts w:cs="Times New Roman"/>
        </w:rPr>
        <w:t>, while t</w:t>
      </w:r>
      <w:r w:rsidR="00592C2C" w:rsidRPr="00814236">
        <w:rPr>
          <w:rFonts w:cs="Times New Roman"/>
        </w:rPr>
        <w:t>his scenario is, given the current trends</w:t>
      </w:r>
      <w:r w:rsidR="006452A6">
        <w:rPr>
          <w:rFonts w:cs="Times New Roman"/>
        </w:rPr>
        <w:t>,</w:t>
      </w:r>
      <w:r w:rsidR="00592C2C" w:rsidRPr="00814236">
        <w:rPr>
          <w:rFonts w:cs="Times New Roman"/>
        </w:rPr>
        <w:t xml:space="preserve"> very unlikely. </w:t>
      </w:r>
    </w:p>
    <w:p w14:paraId="6F4452C7" w14:textId="2F39A258" w:rsidR="0070755F" w:rsidRPr="00814236" w:rsidRDefault="007033E8" w:rsidP="00141F1C">
      <w:pPr>
        <w:rPr>
          <w:rFonts w:cs="Times New Roman"/>
        </w:rPr>
      </w:pPr>
      <w:r w:rsidRPr="00814236">
        <w:rPr>
          <w:rFonts w:cs="Times New Roman"/>
        </w:rPr>
        <w:lastRenderedPageBreak/>
        <w:t xml:space="preserve">In </w:t>
      </w:r>
      <w:r w:rsidR="00053C8F" w:rsidRPr="00814236">
        <w:rPr>
          <w:rFonts w:cs="Times New Roman"/>
        </w:rPr>
        <w:t>our</w:t>
      </w:r>
      <w:r w:rsidRPr="00814236">
        <w:rPr>
          <w:rFonts w:cs="Times New Roman"/>
        </w:rPr>
        <w:t xml:space="preserve"> simulations</w:t>
      </w:r>
      <w:r w:rsidR="00053C8F" w:rsidRPr="00814236">
        <w:rPr>
          <w:rFonts w:cs="Times New Roman"/>
        </w:rPr>
        <w:t>,</w:t>
      </w:r>
      <w:r w:rsidRPr="00814236">
        <w:rPr>
          <w:rFonts w:cs="Times New Roman"/>
        </w:rPr>
        <w:t xml:space="preserve"> we kn</w:t>
      </w:r>
      <w:r w:rsidR="00DC047B">
        <w:rPr>
          <w:rFonts w:cs="Times New Roman"/>
        </w:rPr>
        <w:t>e</w:t>
      </w:r>
      <w:r w:rsidRPr="00814236">
        <w:rPr>
          <w:rFonts w:cs="Times New Roman"/>
        </w:rPr>
        <w:t>w the future consumption</w:t>
      </w:r>
      <w:r w:rsidR="00053C8F" w:rsidRPr="00814236">
        <w:rPr>
          <w:rFonts w:cs="Times New Roman"/>
        </w:rPr>
        <w:t>, which</w:t>
      </w:r>
      <w:r w:rsidR="009A7B28" w:rsidRPr="00814236">
        <w:rPr>
          <w:rFonts w:cs="Times New Roman"/>
        </w:rPr>
        <w:t xml:space="preserve"> allows the controller to optimi</w:t>
      </w:r>
      <w:r w:rsidR="00053C8F" w:rsidRPr="00814236">
        <w:rPr>
          <w:rFonts w:cs="Times New Roman"/>
        </w:rPr>
        <w:t>s</w:t>
      </w:r>
      <w:r w:rsidR="009A7B28" w:rsidRPr="00814236">
        <w:rPr>
          <w:rFonts w:cs="Times New Roman"/>
        </w:rPr>
        <w:t>e the cost</w:t>
      </w:r>
      <w:r w:rsidR="00053C8F" w:rsidRPr="00814236">
        <w:rPr>
          <w:rFonts w:cs="Times New Roman"/>
        </w:rPr>
        <w:t>s</w:t>
      </w:r>
      <w:r w:rsidR="009A7B28" w:rsidRPr="00814236">
        <w:rPr>
          <w:rFonts w:cs="Times New Roman"/>
        </w:rPr>
        <w:t>. This knowledge m</w:t>
      </w:r>
      <w:r w:rsidR="00053C8F" w:rsidRPr="00814236">
        <w:rPr>
          <w:rFonts w:cs="Times New Roman"/>
        </w:rPr>
        <w:t>eans</w:t>
      </w:r>
      <w:r w:rsidR="009A7B28" w:rsidRPr="00814236">
        <w:rPr>
          <w:rFonts w:cs="Times New Roman"/>
        </w:rPr>
        <w:t xml:space="preserve"> that the controller does not sell energy that is needed later </w:t>
      </w:r>
      <w:r w:rsidR="00053C8F" w:rsidRPr="00814236">
        <w:rPr>
          <w:rFonts w:cs="Times New Roman"/>
        </w:rPr>
        <w:t>o</w:t>
      </w:r>
      <w:r w:rsidR="009A7B28" w:rsidRPr="00814236">
        <w:rPr>
          <w:rFonts w:cs="Times New Roman"/>
        </w:rPr>
        <w:t>n.</w:t>
      </w:r>
      <w:r w:rsidR="001E2F3A" w:rsidRPr="00814236">
        <w:rPr>
          <w:rFonts w:cs="Times New Roman"/>
        </w:rPr>
        <w:t xml:space="preserve"> </w:t>
      </w:r>
      <w:r w:rsidR="009A7B28" w:rsidRPr="00814236">
        <w:rPr>
          <w:rFonts w:cs="Times New Roman"/>
        </w:rPr>
        <w:t xml:space="preserve">The assumption of knowing the future state is </w:t>
      </w:r>
      <w:r w:rsidR="005927F9" w:rsidRPr="00814236">
        <w:rPr>
          <w:rFonts w:cs="Times New Roman"/>
        </w:rPr>
        <w:t>possible</w:t>
      </w:r>
      <w:r w:rsidR="009A7B28" w:rsidRPr="00814236">
        <w:rPr>
          <w:rFonts w:cs="Times New Roman"/>
        </w:rPr>
        <w:t xml:space="preserve"> in practice</w:t>
      </w:r>
      <w:r w:rsidR="00053C8F" w:rsidRPr="00814236">
        <w:rPr>
          <w:rFonts w:cs="Times New Roman"/>
        </w:rPr>
        <w:t xml:space="preserve"> as s</w:t>
      </w:r>
      <w:r w:rsidR="009A7B28" w:rsidRPr="00814236">
        <w:rPr>
          <w:rFonts w:cs="Times New Roman"/>
        </w:rPr>
        <w:t xml:space="preserve">mart technology in buildings allows the usage of hot water </w:t>
      </w:r>
      <w:r w:rsidR="00053C8F" w:rsidRPr="00814236">
        <w:rPr>
          <w:rFonts w:cs="Times New Roman"/>
        </w:rPr>
        <w:t xml:space="preserve">to be monitored </w:t>
      </w:r>
      <w:r w:rsidR="009A7B28" w:rsidRPr="00814236">
        <w:rPr>
          <w:rFonts w:cs="Times New Roman"/>
        </w:rPr>
        <w:t>and predict</w:t>
      </w:r>
      <w:r w:rsidR="00053C8F" w:rsidRPr="00814236">
        <w:rPr>
          <w:rFonts w:cs="Times New Roman"/>
        </w:rPr>
        <w:t>ed</w:t>
      </w:r>
      <w:r w:rsidR="009A7B28" w:rsidRPr="00814236">
        <w:rPr>
          <w:rFonts w:cs="Times New Roman"/>
        </w:rPr>
        <w:t xml:space="preserve">. </w:t>
      </w:r>
      <w:r w:rsidR="00741D75" w:rsidRPr="00814236">
        <w:rPr>
          <w:rFonts w:cs="Times New Roman"/>
        </w:rPr>
        <w:t>Here</w:t>
      </w:r>
      <w:r w:rsidR="006452A6">
        <w:rPr>
          <w:rFonts w:cs="Times New Roman"/>
        </w:rPr>
        <w:t>,</w:t>
      </w:r>
      <w:r w:rsidR="00F82CE1" w:rsidRPr="00814236">
        <w:rPr>
          <w:rFonts w:cs="Times New Roman"/>
        </w:rPr>
        <w:t xml:space="preserve"> </w:t>
      </w:r>
      <w:r w:rsidR="009A7B28" w:rsidRPr="00814236">
        <w:rPr>
          <w:rFonts w:cs="Times New Roman"/>
        </w:rPr>
        <w:t xml:space="preserve">residential usage </w:t>
      </w:r>
      <w:r w:rsidR="006452A6">
        <w:rPr>
          <w:rFonts w:cs="Times New Roman"/>
        </w:rPr>
        <w:t>wa</w:t>
      </w:r>
      <w:r w:rsidR="009A7B28" w:rsidRPr="00814236">
        <w:rPr>
          <w:rFonts w:cs="Times New Roman"/>
        </w:rPr>
        <w:t xml:space="preserve">s assumed, </w:t>
      </w:r>
      <w:r w:rsidR="00741D75" w:rsidRPr="00814236">
        <w:rPr>
          <w:rFonts w:cs="Times New Roman"/>
        </w:rPr>
        <w:t xml:space="preserve">which means </w:t>
      </w:r>
      <w:r w:rsidR="009A7B28" w:rsidRPr="00814236">
        <w:rPr>
          <w:rFonts w:cs="Times New Roman"/>
        </w:rPr>
        <w:t>the consumption pattern can be considered stable and predictable</w:t>
      </w:r>
      <w:r w:rsidR="00741D75" w:rsidRPr="00814236">
        <w:rPr>
          <w:rFonts w:cs="Times New Roman"/>
        </w:rPr>
        <w:t>,</w:t>
      </w:r>
      <w:r w:rsidR="009A7B28" w:rsidRPr="00814236">
        <w:rPr>
          <w:rFonts w:cs="Times New Roman"/>
        </w:rPr>
        <w:t xml:space="preserve"> as </w:t>
      </w:r>
      <w:r w:rsidR="006452A6">
        <w:rPr>
          <w:rFonts w:cs="Times New Roman"/>
        </w:rPr>
        <w:t xml:space="preserve">was </w:t>
      </w:r>
      <w:r w:rsidR="00741D75" w:rsidRPr="00814236">
        <w:rPr>
          <w:rFonts w:cs="Times New Roman"/>
        </w:rPr>
        <w:t xml:space="preserve">shown by </w:t>
      </w:r>
      <w:r w:rsidR="002E299B" w:rsidRPr="00814236">
        <w:rPr>
          <w:rFonts w:cs="Times New Roman"/>
        </w:rPr>
        <w:t>Ericson</w:t>
      </w:r>
      <w:r w:rsidR="009A7B28" w:rsidRPr="00814236">
        <w:rPr>
          <w:rFonts w:cs="Times New Roman"/>
        </w:rPr>
        <w:t xml:space="preserve"> </w:t>
      </w:r>
      <w:r w:rsidR="009A7B28" w:rsidRPr="00814236">
        <w:rPr>
          <w:rFonts w:cs="Times New Roman"/>
        </w:rPr>
        <w:fldChar w:fldCharType="begin" w:fldLock="1"/>
      </w:r>
      <w:r w:rsidR="00D46911" w:rsidRPr="00814236">
        <w:rPr>
          <w:rFonts w:cs="Times New Roman"/>
        </w:rPr>
        <w:instrText>ADDIN CSL_CITATION {"citationItems":[{"id":"ITEM-1","itemData":{"DOI":"10.1016/j.enpol.2009.03.063","abstract":"In Norway there is a growing concern that electricity production and transmission may not meet the demand in peak-load situations. It is therefore important to evaluate the potential of different demand-side measures that may contribute to reduce peak load. This paper analyses data from an experiment where residential water heaters were automatically disconnected during peak periods of the day. A model of hourly electricity consumption is used to evaluate the effects on the load of the disconnections. The results indicate an average consumption reduction per household of approximately 0.5 kWh/h during disconnection, and an additional average increase in consumption the following hour, due to the payback effect, that may reach up to 0.28 kWh/h per household.","author":[{"dropping-particle":"","family":"Ericson","given":"Torgeir","non-dropping-particle":"","parse-names":false,"suffix":""}],"container-title":"Energy Policy","id":"ITEM-1","issued":{"date-parts":[["2009"]]},"page":"3502-3512","title":"Direct load control of residential water heaters","type":"article-journal","volume":"37"},"uris":["http://www.mendeley.com/documents/?uuid=53bab724-6649-3808-a65e-f241ff5c0a47"]}],"mendeley":{"formattedCitation":"(Ericson, 2009)","plainTextFormattedCitation":"(Ericson, 2009)","previouslyFormattedCitation":"(Ericson, 2009)"},"properties":{"noteIndex":0},"schema":"https://github.com/citation-style-language/schema/raw/master/csl-citation.json"}</w:instrText>
      </w:r>
      <w:r w:rsidR="009A7B28" w:rsidRPr="00814236">
        <w:rPr>
          <w:rFonts w:cs="Times New Roman"/>
        </w:rPr>
        <w:fldChar w:fldCharType="separate"/>
      </w:r>
      <w:r w:rsidR="002F3E14" w:rsidRPr="00814236">
        <w:rPr>
          <w:rFonts w:cs="Times New Roman"/>
          <w:noProof/>
        </w:rPr>
        <w:t>(2009)</w:t>
      </w:r>
      <w:r w:rsidR="009A7B28" w:rsidRPr="00814236">
        <w:rPr>
          <w:rFonts w:cs="Times New Roman"/>
        </w:rPr>
        <w:fldChar w:fldCharType="end"/>
      </w:r>
      <w:r w:rsidR="009A7B28" w:rsidRPr="00814236">
        <w:rPr>
          <w:rFonts w:cs="Times New Roman"/>
        </w:rPr>
        <w:t>. Smart technology and artificial intelligen</w:t>
      </w:r>
      <w:r w:rsidR="00BC3C9B" w:rsidRPr="00814236">
        <w:rPr>
          <w:rFonts w:cs="Times New Roman"/>
        </w:rPr>
        <w:t>ce</w:t>
      </w:r>
      <w:r w:rsidR="009A7B28" w:rsidRPr="00814236">
        <w:rPr>
          <w:rFonts w:cs="Times New Roman"/>
        </w:rPr>
        <w:t xml:space="preserve"> will enable the selling </w:t>
      </w:r>
      <w:r w:rsidR="00741D75" w:rsidRPr="00814236">
        <w:rPr>
          <w:rFonts w:cs="Times New Roman"/>
        </w:rPr>
        <w:t xml:space="preserve">of </w:t>
      </w:r>
      <w:r w:rsidR="009A7B28" w:rsidRPr="00814236">
        <w:rPr>
          <w:rFonts w:cs="Times New Roman"/>
        </w:rPr>
        <w:t>flexibility</w:t>
      </w:r>
      <w:r w:rsidR="00A41ABE" w:rsidRPr="00814236">
        <w:rPr>
          <w:rFonts w:cs="Times New Roman"/>
        </w:rPr>
        <w:t xml:space="preserve"> for a broader range of applications with less risk of hindering the normal operations of a building and/or having the need to buy expensive energy after selling flexibility</w:t>
      </w:r>
      <w:r w:rsidR="009A7B28" w:rsidRPr="00814236">
        <w:rPr>
          <w:rFonts w:cs="Times New Roman"/>
        </w:rPr>
        <w:t xml:space="preserve">. </w:t>
      </w:r>
    </w:p>
    <w:p w14:paraId="0EA4889E" w14:textId="38DC3713" w:rsidR="001D6CFC" w:rsidRPr="00814236" w:rsidRDefault="001D6CFC" w:rsidP="00141F1C">
      <w:pPr>
        <w:rPr>
          <w:rFonts w:cs="Times New Roman"/>
        </w:rPr>
      </w:pPr>
      <w:r w:rsidRPr="00814236">
        <w:rPr>
          <w:rFonts w:cs="Times New Roman"/>
        </w:rPr>
        <w:t xml:space="preserve">The worse the energy performance of the </w:t>
      </w:r>
      <w:r w:rsidR="00DF3DFB" w:rsidRPr="00814236">
        <w:rPr>
          <w:rFonts w:cs="Times New Roman"/>
        </w:rPr>
        <w:t>electrical boiler</w:t>
      </w:r>
      <w:r w:rsidRPr="00814236">
        <w:rPr>
          <w:rFonts w:cs="Times New Roman"/>
        </w:rPr>
        <w:t>, the more flexibility there is to sell</w:t>
      </w:r>
      <w:r w:rsidR="006452A6">
        <w:rPr>
          <w:rFonts w:cs="Times New Roman"/>
        </w:rPr>
        <w:t>,</w:t>
      </w:r>
      <w:r w:rsidR="00DF3DFB" w:rsidRPr="00814236">
        <w:rPr>
          <w:rFonts w:cs="Times New Roman"/>
        </w:rPr>
        <w:t xml:space="preserve"> and the bigger the revenue</w:t>
      </w:r>
      <w:r w:rsidRPr="00814236">
        <w:rPr>
          <w:rFonts w:cs="Times New Roman"/>
        </w:rPr>
        <w:t>.</w:t>
      </w:r>
      <w:r w:rsidR="00DF3DFB" w:rsidRPr="00814236">
        <w:rPr>
          <w:rFonts w:cs="Times New Roman"/>
        </w:rPr>
        <w:t xml:space="preserve"> The less inert the boiler (the less it is insulated), the faster it cools down and the faster it </w:t>
      </w:r>
      <w:r w:rsidR="001229E4" w:rsidRPr="00814236">
        <w:rPr>
          <w:rFonts w:cs="Times New Roman"/>
        </w:rPr>
        <w:t>enters</w:t>
      </w:r>
      <w:r w:rsidR="00DF3DFB" w:rsidRPr="00814236">
        <w:rPr>
          <w:rFonts w:cs="Times New Roman"/>
        </w:rPr>
        <w:t xml:space="preserve"> the region where it is compensated for not using energy (below 60</w:t>
      </w:r>
      <w:r w:rsidR="006452A6">
        <w:rPr>
          <w:rFonts w:cs="Times New Roman"/>
        </w:rPr>
        <w:t>℃</w:t>
      </w:r>
      <w:r w:rsidR="00DF3DFB" w:rsidRPr="00814236">
        <w:rPr>
          <w:rFonts w:cs="Times New Roman"/>
        </w:rPr>
        <w:t xml:space="preserve">). </w:t>
      </w:r>
      <w:r w:rsidR="006452A6">
        <w:rPr>
          <w:rFonts w:cs="Times New Roman"/>
        </w:rPr>
        <w:t>Meanwhile, t</w:t>
      </w:r>
      <w:r w:rsidR="00DF3DFB" w:rsidRPr="00814236">
        <w:rPr>
          <w:rFonts w:cs="Times New Roman"/>
        </w:rPr>
        <w:t xml:space="preserve">he faster it cools down, the more energy it needs to attain a certain temperature. </w:t>
      </w:r>
      <w:r w:rsidR="006452A6">
        <w:rPr>
          <w:rFonts w:cs="Times New Roman"/>
        </w:rPr>
        <w:t>If we i</w:t>
      </w:r>
      <w:r w:rsidR="00DF3DFB" w:rsidRPr="00814236">
        <w:rPr>
          <w:rFonts w:cs="Times New Roman"/>
        </w:rPr>
        <w:t xml:space="preserve">magine </w:t>
      </w:r>
      <w:r w:rsidR="00F3205F" w:rsidRPr="00814236">
        <w:rPr>
          <w:rFonts w:cs="Times New Roman"/>
        </w:rPr>
        <w:t>the temperature has a setpoint</w:t>
      </w:r>
      <w:r w:rsidR="00DF3DFB" w:rsidRPr="00814236">
        <w:rPr>
          <w:rFonts w:cs="Times New Roman"/>
        </w:rPr>
        <w:t xml:space="preserve"> </w:t>
      </w:r>
      <w:r w:rsidR="00F3205F" w:rsidRPr="00814236">
        <w:rPr>
          <w:rFonts w:cs="Times New Roman"/>
        </w:rPr>
        <w:t>of</w:t>
      </w:r>
      <w:r w:rsidR="00DF3DFB" w:rsidRPr="00814236">
        <w:rPr>
          <w:rFonts w:cs="Times New Roman"/>
        </w:rPr>
        <w:t xml:space="preserve"> 40</w:t>
      </w:r>
      <w:r w:rsidR="006452A6">
        <w:rPr>
          <w:rFonts w:cs="Times New Roman"/>
        </w:rPr>
        <w:t>℃</w:t>
      </w:r>
      <w:r w:rsidR="00DF3DFB" w:rsidRPr="00814236">
        <w:rPr>
          <w:rFonts w:cs="Times New Roman"/>
        </w:rPr>
        <w:t xml:space="preserve"> or 90</w:t>
      </w:r>
      <w:r w:rsidR="006452A6">
        <w:rPr>
          <w:rFonts w:cs="Times New Roman"/>
        </w:rPr>
        <w:t>℃</w:t>
      </w:r>
      <w:r w:rsidR="00DF3DFB" w:rsidRPr="00814236">
        <w:rPr>
          <w:rFonts w:cs="Times New Roman"/>
        </w:rPr>
        <w:t xml:space="preserve">, it would </w:t>
      </w:r>
      <w:r w:rsidR="001229E4" w:rsidRPr="00814236">
        <w:rPr>
          <w:rFonts w:cs="Times New Roman"/>
        </w:rPr>
        <w:t xml:space="preserve">then </w:t>
      </w:r>
      <w:r w:rsidR="00DF3DFB" w:rsidRPr="00814236">
        <w:rPr>
          <w:rFonts w:cs="Times New Roman"/>
        </w:rPr>
        <w:t>consume more energy and thus participat</w:t>
      </w:r>
      <w:r w:rsidR="001229E4" w:rsidRPr="00814236">
        <w:rPr>
          <w:rFonts w:cs="Times New Roman"/>
        </w:rPr>
        <w:t>e</w:t>
      </w:r>
      <w:r w:rsidR="00DF3DFB" w:rsidRPr="00814236">
        <w:rPr>
          <w:rFonts w:cs="Times New Roman"/>
        </w:rPr>
        <w:t xml:space="preserve"> more </w:t>
      </w:r>
      <w:r w:rsidR="001229E4" w:rsidRPr="00814236">
        <w:rPr>
          <w:rFonts w:cs="Times New Roman"/>
        </w:rPr>
        <w:t>i</w:t>
      </w:r>
      <w:r w:rsidR="00DF3DFB" w:rsidRPr="00814236">
        <w:rPr>
          <w:rFonts w:cs="Times New Roman"/>
        </w:rPr>
        <w:t>n balancing the net than an energy</w:t>
      </w:r>
      <w:r w:rsidR="001229E4" w:rsidRPr="00814236">
        <w:rPr>
          <w:rFonts w:cs="Times New Roman"/>
        </w:rPr>
        <w:t>-</w:t>
      </w:r>
      <w:r w:rsidR="00DF3DFB" w:rsidRPr="00814236">
        <w:rPr>
          <w:rFonts w:cs="Times New Roman"/>
        </w:rPr>
        <w:t>optimi</w:t>
      </w:r>
      <w:r w:rsidR="001229E4" w:rsidRPr="00814236">
        <w:rPr>
          <w:rFonts w:cs="Times New Roman"/>
        </w:rPr>
        <w:t>s</w:t>
      </w:r>
      <w:r w:rsidR="00DF3DFB" w:rsidRPr="00814236">
        <w:rPr>
          <w:rFonts w:cs="Times New Roman"/>
        </w:rPr>
        <w:t xml:space="preserve">ed system. </w:t>
      </w:r>
      <w:r w:rsidR="001229E4" w:rsidRPr="00814236">
        <w:rPr>
          <w:rFonts w:cs="Times New Roman"/>
        </w:rPr>
        <w:t>This</w:t>
      </w:r>
      <w:r w:rsidR="00DF3DFB" w:rsidRPr="00814236">
        <w:rPr>
          <w:rFonts w:cs="Times New Roman"/>
        </w:rPr>
        <w:t xml:space="preserve"> would </w:t>
      </w:r>
      <w:r w:rsidR="001229E4" w:rsidRPr="00814236">
        <w:rPr>
          <w:rFonts w:cs="Times New Roman"/>
        </w:rPr>
        <w:t xml:space="preserve">subsequently </w:t>
      </w:r>
      <w:r w:rsidR="00DF3DFB" w:rsidRPr="00814236">
        <w:rPr>
          <w:rFonts w:cs="Times New Roman"/>
        </w:rPr>
        <w:t xml:space="preserve">generate more revenue. </w:t>
      </w:r>
      <w:r w:rsidR="006452A6">
        <w:rPr>
          <w:rFonts w:cs="Times New Roman"/>
        </w:rPr>
        <w:t>With this, p</w:t>
      </w:r>
      <w:r w:rsidRPr="00814236">
        <w:rPr>
          <w:rFonts w:cs="Times New Roman"/>
        </w:rPr>
        <w:t>olic</w:t>
      </w:r>
      <w:r w:rsidR="001229E4" w:rsidRPr="00814236">
        <w:rPr>
          <w:rFonts w:cs="Times New Roman"/>
        </w:rPr>
        <w:t>ies</w:t>
      </w:r>
      <w:r w:rsidRPr="00814236">
        <w:rPr>
          <w:rFonts w:cs="Times New Roman"/>
        </w:rPr>
        <w:t xml:space="preserve"> should </w:t>
      </w:r>
      <w:r w:rsidR="001229E4" w:rsidRPr="00814236">
        <w:rPr>
          <w:rFonts w:cs="Times New Roman"/>
        </w:rPr>
        <w:t>be put</w:t>
      </w:r>
      <w:r w:rsidRPr="00814236">
        <w:rPr>
          <w:rFonts w:cs="Times New Roman"/>
        </w:rPr>
        <w:t xml:space="preserve"> in place to set </w:t>
      </w:r>
      <w:r w:rsidR="001229E4" w:rsidRPr="00814236">
        <w:rPr>
          <w:rFonts w:cs="Times New Roman"/>
        </w:rPr>
        <w:t xml:space="preserve">the </w:t>
      </w:r>
      <w:r w:rsidRPr="00814236">
        <w:rPr>
          <w:rFonts w:cs="Times New Roman"/>
        </w:rPr>
        <w:t>minim</w:t>
      </w:r>
      <w:r w:rsidR="001229E4" w:rsidRPr="00814236">
        <w:rPr>
          <w:rFonts w:cs="Times New Roman"/>
        </w:rPr>
        <w:t>um</w:t>
      </w:r>
      <w:r w:rsidRPr="00814236">
        <w:rPr>
          <w:rFonts w:cs="Times New Roman"/>
        </w:rPr>
        <w:t xml:space="preserve"> standards of energy performance before </w:t>
      </w:r>
      <w:r w:rsidR="00BD5A3D" w:rsidRPr="00814236">
        <w:rPr>
          <w:rFonts w:cs="Times New Roman"/>
        </w:rPr>
        <w:t xml:space="preserve">technical installations are </w:t>
      </w:r>
      <w:r w:rsidRPr="00814236">
        <w:rPr>
          <w:rFonts w:cs="Times New Roman"/>
        </w:rPr>
        <w:t xml:space="preserve">allowed to participate in </w:t>
      </w:r>
      <w:r w:rsidR="001229E4" w:rsidRPr="00814236">
        <w:rPr>
          <w:rFonts w:cs="Times New Roman"/>
        </w:rPr>
        <w:t>DR</w:t>
      </w:r>
      <w:r w:rsidRPr="00814236">
        <w:rPr>
          <w:rFonts w:cs="Times New Roman"/>
        </w:rPr>
        <w:t xml:space="preserve">. </w:t>
      </w:r>
    </w:p>
    <w:p w14:paraId="64A6AC2F" w14:textId="74515899" w:rsidR="00C627D3" w:rsidRPr="00814236" w:rsidRDefault="00C627D3" w:rsidP="00141F1C">
      <w:pPr>
        <w:rPr>
          <w:rFonts w:cs="Times New Roman"/>
        </w:rPr>
      </w:pPr>
      <w:r w:rsidRPr="00814236">
        <w:rPr>
          <w:rFonts w:cs="Times New Roman"/>
        </w:rPr>
        <w:t>It would not be unimaginable to develop an algorithm</w:t>
      </w:r>
      <w:r w:rsidR="00DC047B">
        <w:rPr>
          <w:rFonts w:cs="Times New Roman"/>
        </w:rPr>
        <w:t xml:space="preserve"> –</w:t>
      </w:r>
      <w:r w:rsidRPr="00814236">
        <w:rPr>
          <w:rFonts w:cs="Times New Roman"/>
        </w:rPr>
        <w:t xml:space="preserve"> especially when taking the predicted state of the net into account</w:t>
      </w:r>
      <w:r w:rsidR="00DC047B">
        <w:rPr>
          <w:rFonts w:cs="Times New Roman"/>
        </w:rPr>
        <w:t xml:space="preserve"> –</w:t>
      </w:r>
      <w:r w:rsidRPr="00814236">
        <w:rPr>
          <w:rFonts w:cs="Times New Roman"/>
        </w:rPr>
        <w:t xml:space="preserve"> that maxim</w:t>
      </w:r>
      <w:r w:rsidR="00E927FA" w:rsidRPr="00814236">
        <w:rPr>
          <w:rFonts w:cs="Times New Roman"/>
        </w:rPr>
        <w:t>is</w:t>
      </w:r>
      <w:r w:rsidRPr="00814236">
        <w:rPr>
          <w:rFonts w:cs="Times New Roman"/>
        </w:rPr>
        <w:t>es profit</w:t>
      </w:r>
      <w:r w:rsidR="006452A6">
        <w:rPr>
          <w:rFonts w:cs="Times New Roman"/>
        </w:rPr>
        <w:t>s in terms of s</w:t>
      </w:r>
      <w:r w:rsidRPr="00814236">
        <w:rPr>
          <w:rFonts w:cs="Times New Roman"/>
        </w:rPr>
        <w:t xml:space="preserve">elling flexibility by adapting </w:t>
      </w:r>
      <w:r w:rsidR="006452A6">
        <w:rPr>
          <w:rFonts w:cs="Times New Roman"/>
        </w:rPr>
        <w:t xml:space="preserve">the </w:t>
      </w:r>
      <w:r w:rsidRPr="00814236">
        <w:rPr>
          <w:rFonts w:cs="Times New Roman"/>
        </w:rPr>
        <w:t xml:space="preserve">consumption of hot water. This would mean that it could become interesting to start using hot water (or letting it go to waste) </w:t>
      </w:r>
      <w:r w:rsidR="006452A6">
        <w:rPr>
          <w:rFonts w:cs="Times New Roman"/>
        </w:rPr>
        <w:t xml:space="preserve">in order </w:t>
      </w:r>
      <w:r w:rsidRPr="00814236">
        <w:rPr>
          <w:rFonts w:cs="Times New Roman"/>
        </w:rPr>
        <w:t xml:space="preserve">to be able to sell more flexibility. </w:t>
      </w:r>
      <w:r w:rsidR="006452A6">
        <w:rPr>
          <w:rFonts w:cs="Times New Roman"/>
        </w:rPr>
        <w:t>Thus, p</w:t>
      </w:r>
      <w:r w:rsidRPr="00814236">
        <w:rPr>
          <w:rFonts w:cs="Times New Roman"/>
        </w:rPr>
        <w:t>olicies should be put in place to monitor the user</w:t>
      </w:r>
      <w:r w:rsidR="006452A6">
        <w:rPr>
          <w:rFonts w:cs="Times New Roman"/>
        </w:rPr>
        <w:t>’s</w:t>
      </w:r>
      <w:r w:rsidRPr="00814236">
        <w:rPr>
          <w:rFonts w:cs="Times New Roman"/>
        </w:rPr>
        <w:t xml:space="preserve"> behaviour before being allowed to participate in DR. </w:t>
      </w:r>
    </w:p>
    <w:p w14:paraId="29488F18" w14:textId="5405DB51" w:rsidR="00F151A3" w:rsidRPr="00814236" w:rsidRDefault="00A41ABE" w:rsidP="00141F1C">
      <w:pPr>
        <w:rPr>
          <w:rFonts w:cs="Times New Roman"/>
        </w:rPr>
      </w:pPr>
      <w:r w:rsidRPr="00814236">
        <w:rPr>
          <w:rFonts w:cs="Times New Roman"/>
        </w:rPr>
        <w:lastRenderedPageBreak/>
        <w:t xml:space="preserve">Aside from the above </w:t>
      </w:r>
      <w:r w:rsidR="007C10B9" w:rsidRPr="00814236">
        <w:rPr>
          <w:rFonts w:cs="Times New Roman"/>
        </w:rPr>
        <w:t>conclusions</w:t>
      </w:r>
      <w:r w:rsidRPr="00814236">
        <w:rPr>
          <w:rFonts w:cs="Times New Roman"/>
        </w:rPr>
        <w:t>, there are also more favourable balancing assets. The more favourable balancing assets exist because in the process researched in this paper</w:t>
      </w:r>
      <w:r w:rsidR="00DC047B">
        <w:rPr>
          <w:rFonts w:cs="Times New Roman"/>
        </w:rPr>
        <w:t xml:space="preserve"> </w:t>
      </w:r>
      <w:r w:rsidR="00DC047B" w:rsidRPr="00DC047B">
        <w:rPr>
          <w:rFonts w:cs="Times New Roman"/>
        </w:rPr>
        <w:t>(water heating)</w:t>
      </w:r>
      <w:r w:rsidRPr="00814236">
        <w:rPr>
          <w:rFonts w:cs="Times New Roman"/>
        </w:rPr>
        <w:t xml:space="preserve">, highly exergetic energy (electricity) is converted into heat and </w:t>
      </w:r>
      <w:r w:rsidR="006452A6">
        <w:rPr>
          <w:rFonts w:cs="Times New Roman"/>
        </w:rPr>
        <w:t xml:space="preserve">subsequently </w:t>
      </w:r>
      <w:r w:rsidRPr="00814236">
        <w:rPr>
          <w:rFonts w:cs="Times New Roman"/>
        </w:rPr>
        <w:t>stored. From an energy point of view, this is unfavourable as it destroys exergy. Therefore, the steering of the production of hot water production should only be activated when there are no processes left with a higher exergetic return (e.g. production process, battery storage, etc.). The activation of assets should be</w:t>
      </w:r>
      <w:r w:rsidR="00C627D3" w:rsidRPr="00814236">
        <w:rPr>
          <w:rFonts w:cs="Times New Roman"/>
        </w:rPr>
        <w:t xml:space="preserve"> (also)</w:t>
      </w:r>
      <w:r w:rsidRPr="00814236">
        <w:rPr>
          <w:rFonts w:cs="Times New Roman"/>
        </w:rPr>
        <w:t xml:space="preserve"> priorit</w:t>
      </w:r>
      <w:r w:rsidR="00E927FA" w:rsidRPr="00814236">
        <w:rPr>
          <w:rFonts w:cs="Times New Roman"/>
        </w:rPr>
        <w:t>is</w:t>
      </w:r>
      <w:r w:rsidRPr="00814236">
        <w:rPr>
          <w:rFonts w:cs="Times New Roman"/>
        </w:rPr>
        <w:t>ed based on exergetic returns</w:t>
      </w:r>
      <w:r w:rsidR="000F74E5" w:rsidRPr="00814236">
        <w:rPr>
          <w:rFonts w:cs="Times New Roman"/>
        </w:rPr>
        <w:t xml:space="preserve"> to avoid using the cheapest balancing resource</w:t>
      </w:r>
      <w:r w:rsidRPr="00814236">
        <w:rPr>
          <w:rFonts w:cs="Times New Roman"/>
        </w:rPr>
        <w:t xml:space="preserve">. </w:t>
      </w:r>
    </w:p>
    <w:p w14:paraId="3BA59757" w14:textId="23445FAA" w:rsidR="0095505F" w:rsidRDefault="006452A6" w:rsidP="00141F1C">
      <w:r>
        <w:rPr>
          <w:rFonts w:cs="Times New Roman"/>
        </w:rPr>
        <w:t xml:space="preserve">In terms of </w:t>
      </w:r>
      <w:r w:rsidR="00F151A3" w:rsidRPr="00814236">
        <w:rPr>
          <w:rFonts w:cs="Times New Roman"/>
        </w:rPr>
        <w:t>further research</w:t>
      </w:r>
      <w:r>
        <w:rPr>
          <w:rFonts w:cs="Times New Roman"/>
        </w:rPr>
        <w:t>,</w:t>
      </w:r>
      <w:r w:rsidR="00F151A3" w:rsidRPr="00814236">
        <w:rPr>
          <w:rFonts w:cs="Times New Roman"/>
        </w:rPr>
        <w:t xml:space="preserve"> it would be interesting to look for an optimality between the selling of flexibility and the energy usage. In this research</w:t>
      </w:r>
      <w:r w:rsidR="0095505F">
        <w:rPr>
          <w:rFonts w:cs="Times New Roman"/>
        </w:rPr>
        <w:t>,</w:t>
      </w:r>
      <w:r w:rsidR="00F151A3" w:rsidRPr="00814236">
        <w:rPr>
          <w:rFonts w:cs="Times New Roman"/>
        </w:rPr>
        <w:t xml:space="preserve"> the EMPC is very strict </w:t>
      </w:r>
      <w:r w:rsidR="0095505F">
        <w:rPr>
          <w:rFonts w:cs="Times New Roman"/>
        </w:rPr>
        <w:t xml:space="preserve">in terms of </w:t>
      </w:r>
      <w:r w:rsidR="00F151A3" w:rsidRPr="00814236">
        <w:rPr>
          <w:rFonts w:cs="Times New Roman"/>
        </w:rPr>
        <w:t>tracking its setpoint. However</w:t>
      </w:r>
      <w:r w:rsidR="0095505F">
        <w:rPr>
          <w:rFonts w:cs="Times New Roman"/>
        </w:rPr>
        <w:t>,</w:t>
      </w:r>
      <w:r w:rsidR="00F151A3" w:rsidRPr="00814236">
        <w:rPr>
          <w:rFonts w:cs="Times New Roman"/>
        </w:rPr>
        <w:t xml:space="preserve"> it could </w:t>
      </w:r>
      <w:r w:rsidR="0095505F">
        <w:rPr>
          <w:rFonts w:cs="Times New Roman"/>
        </w:rPr>
        <w:t xml:space="preserve">be designed to more closely </w:t>
      </w:r>
      <w:r w:rsidR="00F151A3" w:rsidRPr="00814236">
        <w:rPr>
          <w:rFonts w:cs="Times New Roman"/>
        </w:rPr>
        <w:t xml:space="preserve">resemble the behaviour of an on/off controller </w:t>
      </w:r>
      <w:r w:rsidR="0095505F">
        <w:rPr>
          <w:rFonts w:cs="Times New Roman"/>
        </w:rPr>
        <w:t xml:space="preserve">while retaining </w:t>
      </w:r>
      <w:r w:rsidR="00876FCE" w:rsidRPr="00814236">
        <w:rPr>
          <w:rFonts w:cs="Times New Roman"/>
        </w:rPr>
        <w:t>the advantages of the EMPC controller. In this optim</w:t>
      </w:r>
      <w:r w:rsidR="00E927FA" w:rsidRPr="00814236">
        <w:rPr>
          <w:rFonts w:cs="Times New Roman"/>
        </w:rPr>
        <w:t>is</w:t>
      </w:r>
      <w:r w:rsidR="00876FCE" w:rsidRPr="00814236">
        <w:rPr>
          <w:rFonts w:cs="Times New Roman"/>
        </w:rPr>
        <w:t>ation</w:t>
      </w:r>
      <w:r w:rsidR="0095505F">
        <w:rPr>
          <w:rFonts w:cs="Times New Roman"/>
        </w:rPr>
        <w:t>,</w:t>
      </w:r>
      <w:r w:rsidR="00876FCE" w:rsidRPr="00814236">
        <w:rPr>
          <w:rFonts w:cs="Times New Roman"/>
        </w:rPr>
        <w:t xml:space="preserve"> it is worth noting that</w:t>
      </w:r>
      <w:r w:rsidR="00F151A3" w:rsidRPr="00814236">
        <w:rPr>
          <w:rFonts w:cs="Times New Roman"/>
        </w:rPr>
        <w:t xml:space="preserve"> </w:t>
      </w:r>
      <w:r w:rsidR="00876FCE" w:rsidRPr="00814236">
        <w:rPr>
          <w:rFonts w:cs="Times New Roman"/>
        </w:rPr>
        <w:t>i</w:t>
      </w:r>
      <w:r w:rsidR="00F151A3" w:rsidRPr="00814236">
        <w:t>n the simulations</w:t>
      </w:r>
      <w:r w:rsidR="00876FCE" w:rsidRPr="00814236">
        <w:t xml:space="preserve"> performed in this research</w:t>
      </w:r>
      <w:r w:rsidR="00F151A3" w:rsidRPr="00814236">
        <w:t>, we do not consider the cashflow</w:t>
      </w:r>
      <w:r w:rsidR="00876FCE" w:rsidRPr="00814236">
        <w:t>s</w:t>
      </w:r>
      <w:r w:rsidR="00F151A3" w:rsidRPr="00814236">
        <w:t xml:space="preserve"> for being on standby (the value of having the option</w:t>
      </w:r>
      <w:r w:rsidR="0095505F">
        <w:t>;</w:t>
      </w:r>
      <w:r w:rsidR="00F151A3" w:rsidRPr="00814236">
        <w:t xml:space="preserve"> we only count for the execution of the option). </w:t>
      </w:r>
      <w:r w:rsidR="0095505F">
        <w:br w:type="page"/>
      </w:r>
    </w:p>
    <w:p w14:paraId="0D310CBD" w14:textId="77777777" w:rsidR="0095505F" w:rsidRPr="00A907D5" w:rsidRDefault="0095505F" w:rsidP="00A907D5">
      <w:pPr>
        <w:rPr>
          <w:b/>
          <w:sz w:val="36"/>
          <w:szCs w:val="36"/>
        </w:rPr>
      </w:pPr>
      <w:r w:rsidRPr="00A907D5">
        <w:rPr>
          <w:b/>
          <w:sz w:val="36"/>
          <w:szCs w:val="36"/>
        </w:rPr>
        <w:lastRenderedPageBreak/>
        <w:t>Acknowledgements</w:t>
      </w:r>
    </w:p>
    <w:p w14:paraId="688F0FDF" w14:textId="1116D267" w:rsidR="005A3E87" w:rsidRPr="00814236" w:rsidRDefault="005A3E87" w:rsidP="00141F1C">
      <w:pPr>
        <w:spacing w:before="0"/>
        <w:jc w:val="left"/>
      </w:pPr>
      <w:r w:rsidRPr="00814236">
        <w:t xml:space="preserve">Tine Compernolle thanks the Research Foundation Flanders (FWO) for funding her postdoctoral mandate </w:t>
      </w:r>
      <w:r w:rsidR="0095505F">
        <w:t>[</w:t>
      </w:r>
      <w:r w:rsidRPr="00814236">
        <w:t>grant number 12M7417N</w:t>
      </w:r>
      <w:r w:rsidR="0095505F">
        <w:t>]</w:t>
      </w:r>
    </w:p>
    <w:p w14:paraId="722B531D" w14:textId="5FA6640F" w:rsidR="003B0245" w:rsidRPr="00814236" w:rsidRDefault="00EC354E" w:rsidP="00141F1C">
      <w:r w:rsidRPr="00814236">
        <w:br w:type="page"/>
      </w:r>
      <w:bookmarkStart w:id="41" w:name="_Toc528960166"/>
    </w:p>
    <w:p w14:paraId="0F0B1BD8" w14:textId="77777777" w:rsidR="003B0245" w:rsidRPr="00814236" w:rsidRDefault="003B0245" w:rsidP="00141F1C"/>
    <w:p w14:paraId="2E82363D" w14:textId="032073E7" w:rsidR="00EB1B99" w:rsidRPr="00814236" w:rsidRDefault="00EB1B99" w:rsidP="00B4035C">
      <w:pPr>
        <w:pStyle w:val="Heading1"/>
        <w:numPr>
          <w:ilvl w:val="0"/>
          <w:numId w:val="0"/>
        </w:numPr>
      </w:pPr>
      <w:bookmarkStart w:id="42" w:name="_Toc7096542"/>
      <w:r w:rsidRPr="00814236">
        <w:t>Bibliography</w:t>
      </w:r>
      <w:bookmarkEnd w:id="41"/>
      <w:bookmarkEnd w:id="42"/>
    </w:p>
    <w:p w14:paraId="45F08E2E" w14:textId="53B859E3" w:rsidR="00DF777E" w:rsidRPr="00814236" w:rsidRDefault="00DF777E" w:rsidP="00141F1C">
      <w:pPr>
        <w:widowControl w:val="0"/>
        <w:autoSpaceDE w:val="0"/>
        <w:autoSpaceDN w:val="0"/>
        <w:adjustRightInd w:val="0"/>
        <w:spacing w:before="0"/>
        <w:ind w:left="480" w:hanging="480"/>
        <w:rPr>
          <w:rFonts w:cs="Times New Roman"/>
          <w:noProof/>
        </w:rPr>
      </w:pPr>
      <w:r w:rsidRPr="00814236">
        <w:rPr>
          <w:rFonts w:cs="Times New Roman"/>
        </w:rPr>
        <w:fldChar w:fldCharType="begin" w:fldLock="1"/>
      </w:r>
      <w:r w:rsidRPr="00814236">
        <w:rPr>
          <w:rFonts w:cs="Times New Roman"/>
        </w:rPr>
        <w:instrText xml:space="preserve">ADDIN Mendeley Bibliography CSL_BIBLIOGRAPHY </w:instrText>
      </w:r>
      <w:r w:rsidRPr="00814236">
        <w:rPr>
          <w:rFonts w:cs="Times New Roman"/>
        </w:rPr>
        <w:fldChar w:fldCharType="separate"/>
      </w:r>
      <w:r w:rsidRPr="00814236">
        <w:rPr>
          <w:rFonts w:cs="Times New Roman"/>
          <w:noProof/>
        </w:rPr>
        <w:t xml:space="preserve"> Afram, A., &amp; Janabi-Sharifi, F. (2014). Theory and applications of HVAC control systems</w:t>
      </w:r>
      <w:r w:rsidR="00FB63A4">
        <w:rPr>
          <w:rFonts w:cs="Times New Roman"/>
          <w:noProof/>
        </w:rPr>
        <w:t xml:space="preserve">: </w:t>
      </w:r>
      <w:r w:rsidRPr="00814236">
        <w:rPr>
          <w:rFonts w:cs="Times New Roman"/>
          <w:noProof/>
        </w:rPr>
        <w:t>A review of model predictive control (MPC). https://doi.org/10.1016/j.buildenv.2013.11.016</w:t>
      </w:r>
    </w:p>
    <w:p w14:paraId="388B4B69" w14:textId="77777777" w:rsidR="00DF777E" w:rsidRPr="00814236" w:rsidRDefault="00DF777E" w:rsidP="00141F1C">
      <w:pPr>
        <w:widowControl w:val="0"/>
        <w:autoSpaceDE w:val="0"/>
        <w:autoSpaceDN w:val="0"/>
        <w:adjustRightInd w:val="0"/>
        <w:spacing w:before="0"/>
        <w:ind w:left="480" w:hanging="480"/>
        <w:rPr>
          <w:rFonts w:cs="Times New Roman"/>
          <w:noProof/>
        </w:rPr>
      </w:pPr>
      <w:r w:rsidRPr="00814236">
        <w:rPr>
          <w:rFonts w:cs="Times New Roman"/>
          <w:noProof/>
        </w:rPr>
        <w:t xml:space="preserve">Avci, M., Erkoc, M., Rahmani, A., &amp; Asfour, S. (2013). Model predictive HVAC load control in buildings using real-time electricity pricing. </w:t>
      </w:r>
      <w:r w:rsidRPr="00814236">
        <w:rPr>
          <w:rFonts w:cs="Times New Roman"/>
          <w:i/>
          <w:iCs/>
          <w:noProof/>
        </w:rPr>
        <w:t>Energy and Buildings</w:t>
      </w:r>
      <w:r w:rsidRPr="00814236">
        <w:rPr>
          <w:rFonts w:cs="Times New Roman"/>
          <w:noProof/>
        </w:rPr>
        <w:t xml:space="preserve">, </w:t>
      </w:r>
      <w:r w:rsidRPr="00814236">
        <w:rPr>
          <w:rFonts w:cs="Times New Roman"/>
          <w:i/>
          <w:iCs/>
          <w:noProof/>
        </w:rPr>
        <w:t>60</w:t>
      </w:r>
      <w:r w:rsidRPr="00814236">
        <w:rPr>
          <w:rFonts w:cs="Times New Roman"/>
          <w:noProof/>
        </w:rPr>
        <w:t>, 199–209. https://doi.org/10.1016/j.enbuild.2013.01.008</w:t>
      </w:r>
    </w:p>
    <w:p w14:paraId="614A91EB" w14:textId="1649E14A" w:rsidR="00DF777E" w:rsidRDefault="00DF777E" w:rsidP="00141F1C">
      <w:pPr>
        <w:widowControl w:val="0"/>
        <w:autoSpaceDE w:val="0"/>
        <w:autoSpaceDN w:val="0"/>
        <w:adjustRightInd w:val="0"/>
        <w:spacing w:before="0"/>
        <w:ind w:left="480" w:hanging="480"/>
        <w:rPr>
          <w:rFonts w:cs="Times New Roman"/>
          <w:noProof/>
        </w:rPr>
      </w:pPr>
      <w:r w:rsidRPr="00814236">
        <w:rPr>
          <w:rFonts w:cs="Times New Roman"/>
          <w:noProof/>
        </w:rPr>
        <w:t xml:space="preserve">De Coninck, R., &amp; Helsen, L. (2016). Quantification of flexibility in buildings by cost curves - Methodology and application. </w:t>
      </w:r>
      <w:r w:rsidRPr="00814236">
        <w:rPr>
          <w:rFonts w:cs="Times New Roman"/>
          <w:i/>
          <w:iCs/>
          <w:noProof/>
        </w:rPr>
        <w:t>Applied Energy</w:t>
      </w:r>
      <w:r w:rsidRPr="00814236">
        <w:rPr>
          <w:rFonts w:cs="Times New Roman"/>
          <w:noProof/>
        </w:rPr>
        <w:t xml:space="preserve">, </w:t>
      </w:r>
      <w:r w:rsidRPr="00814236">
        <w:rPr>
          <w:rFonts w:cs="Times New Roman"/>
          <w:i/>
          <w:iCs/>
          <w:noProof/>
        </w:rPr>
        <w:t>162</w:t>
      </w:r>
      <w:r w:rsidRPr="00814236">
        <w:rPr>
          <w:rFonts w:cs="Times New Roman"/>
          <w:noProof/>
        </w:rPr>
        <w:t>. https://doi.org/10.1016/j.apenergy.2015.10.114</w:t>
      </w:r>
    </w:p>
    <w:p w14:paraId="2B5482DD" w14:textId="40578DF8" w:rsidR="00A66234" w:rsidRPr="00814236" w:rsidRDefault="00A66234" w:rsidP="00141F1C">
      <w:pPr>
        <w:widowControl w:val="0"/>
        <w:autoSpaceDE w:val="0"/>
        <w:autoSpaceDN w:val="0"/>
        <w:adjustRightInd w:val="0"/>
        <w:spacing w:before="0"/>
        <w:ind w:left="480" w:hanging="480"/>
        <w:rPr>
          <w:rFonts w:cs="Times New Roman"/>
          <w:noProof/>
        </w:rPr>
      </w:pPr>
      <w:r w:rsidRPr="00A66234">
        <w:rPr>
          <w:rFonts w:cs="Times New Roman"/>
          <w:noProof/>
        </w:rPr>
        <w:t>ELIA</w:t>
      </w:r>
      <w:r>
        <w:rPr>
          <w:rFonts w:cs="Times New Roman"/>
          <w:noProof/>
        </w:rPr>
        <w:t xml:space="preserve"> </w:t>
      </w:r>
      <w:r w:rsidRPr="00A66234">
        <w:rPr>
          <w:rFonts w:cs="Times New Roman"/>
          <w:noProof/>
        </w:rPr>
        <w:t>(n.d.).</w:t>
      </w:r>
      <w:r>
        <w:rPr>
          <w:rFonts w:cs="Times New Roman"/>
          <w:noProof/>
        </w:rPr>
        <w:t xml:space="preserve"> </w:t>
      </w:r>
      <w:r w:rsidRPr="00A66234">
        <w:rPr>
          <w:rFonts w:cs="Times New Roman"/>
          <w:noProof/>
        </w:rPr>
        <w:t xml:space="preserve">Data </w:t>
      </w:r>
      <w:r w:rsidR="0083078B">
        <w:rPr>
          <w:rFonts w:cs="Times New Roman"/>
          <w:noProof/>
        </w:rPr>
        <w:t>d</w:t>
      </w:r>
      <w:r w:rsidRPr="00A66234">
        <w:rPr>
          <w:rFonts w:cs="Times New Roman"/>
          <w:noProof/>
        </w:rPr>
        <w:t>ownload</w:t>
      </w:r>
      <w:r w:rsidR="0083078B">
        <w:rPr>
          <w:rFonts w:cs="Times New Roman"/>
          <w:noProof/>
        </w:rPr>
        <w:t>.</w:t>
      </w:r>
      <w:r w:rsidRPr="00A66234">
        <w:rPr>
          <w:rFonts w:cs="Times New Roman"/>
          <w:noProof/>
        </w:rPr>
        <w:t xml:space="preserve"> Retrieved from http://www.elia.be/en/grid-data/data-download</w:t>
      </w:r>
    </w:p>
    <w:p w14:paraId="04CCD19F" w14:textId="77777777" w:rsidR="00DF777E" w:rsidRPr="00814236" w:rsidRDefault="00DF777E" w:rsidP="00141F1C">
      <w:pPr>
        <w:widowControl w:val="0"/>
        <w:autoSpaceDE w:val="0"/>
        <w:autoSpaceDN w:val="0"/>
        <w:adjustRightInd w:val="0"/>
        <w:spacing w:before="0"/>
        <w:ind w:left="480" w:hanging="480"/>
        <w:rPr>
          <w:rFonts w:cs="Times New Roman"/>
          <w:noProof/>
        </w:rPr>
      </w:pPr>
      <w:r w:rsidRPr="00814236">
        <w:rPr>
          <w:rFonts w:cs="Times New Roman"/>
          <w:noProof/>
        </w:rPr>
        <w:t xml:space="preserve">Ellis, M., Durand, H., &amp; Christofides, P. D. (2014). A tutorial review of economic model predictive control methods. </w:t>
      </w:r>
      <w:r w:rsidRPr="00814236">
        <w:rPr>
          <w:rFonts w:cs="Times New Roman"/>
          <w:i/>
          <w:iCs/>
          <w:noProof/>
        </w:rPr>
        <w:t>Journal of Process Control</w:t>
      </w:r>
      <w:r w:rsidRPr="00814236">
        <w:rPr>
          <w:rFonts w:cs="Times New Roman"/>
          <w:noProof/>
        </w:rPr>
        <w:t xml:space="preserve">, </w:t>
      </w:r>
      <w:r w:rsidRPr="00814236">
        <w:rPr>
          <w:rFonts w:cs="Times New Roman"/>
          <w:i/>
          <w:iCs/>
          <w:noProof/>
        </w:rPr>
        <w:t>24</w:t>
      </w:r>
      <w:r w:rsidRPr="00814236">
        <w:rPr>
          <w:rFonts w:cs="Times New Roman"/>
          <w:noProof/>
        </w:rPr>
        <w:t>, 1156–1178. https://doi.org/10.1016/j.jprocont.2014.03.010</w:t>
      </w:r>
    </w:p>
    <w:p w14:paraId="40926DCB" w14:textId="693CC98F" w:rsidR="00DF777E" w:rsidRPr="00814236" w:rsidRDefault="00DF777E" w:rsidP="00141F1C">
      <w:pPr>
        <w:widowControl w:val="0"/>
        <w:autoSpaceDE w:val="0"/>
        <w:autoSpaceDN w:val="0"/>
        <w:adjustRightInd w:val="0"/>
        <w:spacing w:before="0"/>
        <w:ind w:left="480" w:hanging="480"/>
        <w:rPr>
          <w:rFonts w:cs="Times New Roman"/>
          <w:noProof/>
        </w:rPr>
      </w:pPr>
      <w:r w:rsidRPr="00814236">
        <w:rPr>
          <w:rFonts w:cs="Times New Roman"/>
          <w:noProof/>
        </w:rPr>
        <w:t xml:space="preserve">Ericson, T. (2009). Direct load control of residential water heaters. </w:t>
      </w:r>
      <w:r w:rsidRPr="00814236">
        <w:rPr>
          <w:rFonts w:cs="Times New Roman"/>
          <w:i/>
          <w:iCs/>
          <w:noProof/>
        </w:rPr>
        <w:t>Energy Policy</w:t>
      </w:r>
      <w:r w:rsidRPr="00814236">
        <w:rPr>
          <w:rFonts w:cs="Times New Roman"/>
          <w:noProof/>
        </w:rPr>
        <w:t xml:space="preserve">, </w:t>
      </w:r>
      <w:r w:rsidRPr="00814236">
        <w:rPr>
          <w:rFonts w:cs="Times New Roman"/>
          <w:i/>
          <w:iCs/>
          <w:noProof/>
        </w:rPr>
        <w:t>37</w:t>
      </w:r>
      <w:r w:rsidRPr="00814236">
        <w:rPr>
          <w:rFonts w:cs="Times New Roman"/>
          <w:noProof/>
        </w:rPr>
        <w:t>, 3502–3512. https://doi.org/10.1016/j.enpol.2009.03.063</w:t>
      </w:r>
    </w:p>
    <w:p w14:paraId="5C0D54BB" w14:textId="40D8E358" w:rsidR="00E927FA" w:rsidRPr="00814236" w:rsidRDefault="00E927FA" w:rsidP="00141F1C">
      <w:pPr>
        <w:widowControl w:val="0"/>
        <w:autoSpaceDE w:val="0"/>
        <w:autoSpaceDN w:val="0"/>
        <w:adjustRightInd w:val="0"/>
        <w:spacing w:before="0"/>
        <w:ind w:left="480" w:hanging="480"/>
        <w:rPr>
          <w:rFonts w:cs="Times New Roman"/>
          <w:noProof/>
        </w:rPr>
      </w:pPr>
      <w:r w:rsidRPr="00814236">
        <w:rPr>
          <w:rFonts w:cs="Times New Roman"/>
          <w:noProof/>
        </w:rPr>
        <w:t>European Commission. (n.d.). 2030 Energy Strategy. Retrieved from https://ec.europa.eu/energy/en/topics/energy-strategy-and-energy-union/2030-energy-strategy</w:t>
      </w:r>
    </w:p>
    <w:p w14:paraId="3FE61ECA" w14:textId="004C5D98" w:rsidR="005B7293" w:rsidRPr="00814236" w:rsidRDefault="005B7293" w:rsidP="00141F1C">
      <w:pPr>
        <w:widowControl w:val="0"/>
        <w:autoSpaceDE w:val="0"/>
        <w:autoSpaceDN w:val="0"/>
        <w:adjustRightInd w:val="0"/>
        <w:spacing w:before="0"/>
        <w:ind w:left="480" w:hanging="480"/>
        <w:rPr>
          <w:rFonts w:cs="Times New Roman"/>
          <w:noProof/>
        </w:rPr>
      </w:pPr>
      <w:r w:rsidRPr="00814236">
        <w:rPr>
          <w:rFonts w:cs="Times New Roman"/>
          <w:noProof/>
        </w:rPr>
        <w:t xml:space="preserve">European Commision. (n.d.). Renewable Energy. </w:t>
      </w:r>
      <w:r w:rsidR="00FB63A4" w:rsidRPr="00FB63A4">
        <w:rPr>
          <w:rFonts w:cs="Times New Roman"/>
          <w:noProof/>
        </w:rPr>
        <w:t xml:space="preserve">Retrieved </w:t>
      </w:r>
      <w:r w:rsidR="0083078B">
        <w:rPr>
          <w:rFonts w:cs="Times New Roman"/>
          <w:noProof/>
        </w:rPr>
        <w:t xml:space="preserve">from </w:t>
      </w:r>
      <w:r w:rsidRPr="00814236">
        <w:rPr>
          <w:rFonts w:cs="Times New Roman"/>
          <w:noProof/>
        </w:rPr>
        <w:lastRenderedPageBreak/>
        <w:t>https://ec.europa.eu/energy/en/topics/renewable-energy</w:t>
      </w:r>
    </w:p>
    <w:p w14:paraId="4C8AE4F4" w14:textId="79EE3AC2" w:rsidR="00DF777E" w:rsidRPr="00814236" w:rsidRDefault="00DF777E" w:rsidP="00141F1C">
      <w:pPr>
        <w:widowControl w:val="0"/>
        <w:autoSpaceDE w:val="0"/>
        <w:autoSpaceDN w:val="0"/>
        <w:adjustRightInd w:val="0"/>
        <w:spacing w:before="0"/>
        <w:ind w:left="480" w:hanging="480"/>
        <w:rPr>
          <w:rFonts w:cs="Times New Roman"/>
          <w:noProof/>
        </w:rPr>
      </w:pPr>
      <w:r w:rsidRPr="00814236">
        <w:rPr>
          <w:rFonts w:cs="Times New Roman"/>
          <w:noProof/>
        </w:rPr>
        <w:t>Kepplinger, P., Huber, G., &amp; Petrasch, J. (2015). Autonomous optimal control for demand side management with resistive domestic hot water heaters using linear optim</w:t>
      </w:r>
      <w:r w:rsidR="00E927FA" w:rsidRPr="00814236">
        <w:rPr>
          <w:rFonts w:cs="Times New Roman"/>
          <w:noProof/>
        </w:rPr>
        <w:t>is</w:t>
      </w:r>
      <w:r w:rsidRPr="00814236">
        <w:rPr>
          <w:rFonts w:cs="Times New Roman"/>
          <w:noProof/>
        </w:rPr>
        <w:t xml:space="preserve">ation. </w:t>
      </w:r>
      <w:r w:rsidRPr="00814236">
        <w:rPr>
          <w:rFonts w:cs="Times New Roman"/>
          <w:i/>
          <w:iCs/>
          <w:noProof/>
        </w:rPr>
        <w:t>Energy and Buildings</w:t>
      </w:r>
      <w:r w:rsidRPr="00814236">
        <w:rPr>
          <w:rFonts w:cs="Times New Roman"/>
          <w:noProof/>
        </w:rPr>
        <w:t xml:space="preserve">, </w:t>
      </w:r>
      <w:r w:rsidRPr="00814236">
        <w:rPr>
          <w:rFonts w:cs="Times New Roman"/>
          <w:i/>
          <w:iCs/>
          <w:noProof/>
        </w:rPr>
        <w:t>100</w:t>
      </w:r>
      <w:r w:rsidRPr="00814236">
        <w:rPr>
          <w:rFonts w:cs="Times New Roman"/>
          <w:noProof/>
        </w:rPr>
        <w:t>, 50–55. https://doi.org/10.1016/J.ENBUILD.2014.12.016</w:t>
      </w:r>
    </w:p>
    <w:p w14:paraId="077E472D" w14:textId="77777777" w:rsidR="00DF777E" w:rsidRPr="00814236" w:rsidRDefault="00DF777E" w:rsidP="00141F1C">
      <w:pPr>
        <w:widowControl w:val="0"/>
        <w:autoSpaceDE w:val="0"/>
        <w:autoSpaceDN w:val="0"/>
        <w:adjustRightInd w:val="0"/>
        <w:spacing w:before="0"/>
        <w:ind w:left="480" w:hanging="480"/>
        <w:rPr>
          <w:rFonts w:cs="Times New Roman"/>
          <w:noProof/>
        </w:rPr>
      </w:pPr>
      <w:r w:rsidRPr="00814236">
        <w:rPr>
          <w:rFonts w:cs="Times New Roman"/>
          <w:noProof/>
        </w:rPr>
        <w:t xml:space="preserve">Klein, K., Herkel, S., Henning, H. M., &amp; Felsmann, C. (2017). Load shifting using the heating and cooling system of an office building: Quantitative potential evaluation for different flexibility and storage options. </w:t>
      </w:r>
      <w:r w:rsidRPr="00814236">
        <w:rPr>
          <w:rFonts w:cs="Times New Roman"/>
          <w:i/>
          <w:iCs/>
          <w:noProof/>
        </w:rPr>
        <w:t>Applied Energy</w:t>
      </w:r>
      <w:r w:rsidRPr="00814236">
        <w:rPr>
          <w:rFonts w:cs="Times New Roman"/>
          <w:noProof/>
        </w:rPr>
        <w:t>. https://doi.org/10.1016/j.apenergy.2017.06.073</w:t>
      </w:r>
    </w:p>
    <w:p w14:paraId="127D375B" w14:textId="77777777" w:rsidR="00DF777E" w:rsidRPr="00814236" w:rsidRDefault="00DF777E" w:rsidP="00141F1C">
      <w:pPr>
        <w:widowControl w:val="0"/>
        <w:autoSpaceDE w:val="0"/>
        <w:autoSpaceDN w:val="0"/>
        <w:adjustRightInd w:val="0"/>
        <w:spacing w:before="0"/>
        <w:ind w:left="480" w:hanging="480"/>
        <w:rPr>
          <w:rFonts w:cs="Times New Roman"/>
          <w:noProof/>
        </w:rPr>
      </w:pPr>
      <w:r w:rsidRPr="00814236">
        <w:rPr>
          <w:rFonts w:cs="Times New Roman"/>
          <w:noProof/>
        </w:rPr>
        <w:t>Ma, J., Qin, J., Salsbury, T., &amp; Xu, P. (2011). Demand reduction in building energy systems based on economic model predictive control. https://doi.org/10.1016/j.ces.2011.07.052</w:t>
      </w:r>
    </w:p>
    <w:p w14:paraId="68C165C3" w14:textId="4351123F" w:rsidR="00DF777E" w:rsidRPr="00814236" w:rsidRDefault="00DF777E" w:rsidP="00141F1C">
      <w:pPr>
        <w:widowControl w:val="0"/>
        <w:autoSpaceDE w:val="0"/>
        <w:autoSpaceDN w:val="0"/>
        <w:adjustRightInd w:val="0"/>
        <w:spacing w:before="0"/>
        <w:ind w:left="480" w:hanging="480"/>
        <w:rPr>
          <w:rFonts w:cs="Times New Roman"/>
          <w:noProof/>
        </w:rPr>
      </w:pPr>
      <w:r w:rsidRPr="00814236">
        <w:rPr>
          <w:rFonts w:cs="Times New Roman"/>
          <w:noProof/>
        </w:rPr>
        <w:t>Ma, J., Qin, S. J., &amp; Salsbury, T. (2014). Application of economic MPC to the energy and demand minim</w:t>
      </w:r>
      <w:r w:rsidR="00E927FA" w:rsidRPr="00814236">
        <w:rPr>
          <w:rFonts w:cs="Times New Roman"/>
          <w:noProof/>
        </w:rPr>
        <w:t>is</w:t>
      </w:r>
      <w:r w:rsidRPr="00814236">
        <w:rPr>
          <w:rFonts w:cs="Times New Roman"/>
          <w:noProof/>
        </w:rPr>
        <w:t xml:space="preserve">ation of a commercial building. </w:t>
      </w:r>
      <w:r w:rsidRPr="00814236">
        <w:rPr>
          <w:rFonts w:cs="Times New Roman"/>
          <w:i/>
          <w:iCs/>
          <w:noProof/>
        </w:rPr>
        <w:t>Journal of Process Control</w:t>
      </w:r>
      <w:r w:rsidRPr="00814236">
        <w:rPr>
          <w:rFonts w:cs="Times New Roman"/>
          <w:noProof/>
        </w:rPr>
        <w:t xml:space="preserve">, </w:t>
      </w:r>
      <w:r w:rsidRPr="00814236">
        <w:rPr>
          <w:rFonts w:cs="Times New Roman"/>
          <w:i/>
          <w:iCs/>
          <w:noProof/>
        </w:rPr>
        <w:t>24</w:t>
      </w:r>
      <w:r w:rsidRPr="00814236">
        <w:rPr>
          <w:rFonts w:cs="Times New Roman"/>
          <w:noProof/>
        </w:rPr>
        <w:t>, 1282–1291. https://doi.org/10.1016/j.jprocont.2014.06.011</w:t>
      </w:r>
    </w:p>
    <w:p w14:paraId="5E69E386" w14:textId="77777777" w:rsidR="00DF777E" w:rsidRPr="00814236" w:rsidRDefault="00DF777E" w:rsidP="00141F1C">
      <w:pPr>
        <w:widowControl w:val="0"/>
        <w:autoSpaceDE w:val="0"/>
        <w:autoSpaceDN w:val="0"/>
        <w:adjustRightInd w:val="0"/>
        <w:spacing w:before="0"/>
        <w:ind w:left="480" w:hanging="480"/>
        <w:rPr>
          <w:rFonts w:cs="Times New Roman"/>
          <w:noProof/>
        </w:rPr>
      </w:pPr>
      <w:r w:rsidRPr="00814236">
        <w:rPr>
          <w:rFonts w:cs="Times New Roman"/>
          <w:noProof/>
        </w:rPr>
        <w:t xml:space="preserve">Prívara, S., Sirok´y, J., Ferkl, L., &amp; Cigler, J. (2011). Model predictive control of a building heating system: The first experience. </w:t>
      </w:r>
      <w:r w:rsidRPr="00814236">
        <w:rPr>
          <w:rFonts w:cs="Times New Roman"/>
          <w:i/>
          <w:iCs/>
          <w:noProof/>
        </w:rPr>
        <w:t>Energy and Buildings</w:t>
      </w:r>
      <w:r w:rsidRPr="00814236">
        <w:rPr>
          <w:rFonts w:cs="Times New Roman"/>
          <w:noProof/>
        </w:rPr>
        <w:t xml:space="preserve">, </w:t>
      </w:r>
      <w:r w:rsidRPr="00814236">
        <w:rPr>
          <w:rFonts w:cs="Times New Roman"/>
          <w:i/>
          <w:iCs/>
          <w:noProof/>
        </w:rPr>
        <w:t>43</w:t>
      </w:r>
      <w:r w:rsidRPr="00814236">
        <w:rPr>
          <w:rFonts w:cs="Times New Roman"/>
          <w:noProof/>
        </w:rPr>
        <w:t>, 564–572. https://doi.org/10.1016/j.enbuild.2010.10.022</w:t>
      </w:r>
    </w:p>
    <w:p w14:paraId="1F4A64EC" w14:textId="77777777" w:rsidR="00DF777E" w:rsidRPr="00814236" w:rsidRDefault="00DF777E" w:rsidP="00141F1C">
      <w:pPr>
        <w:widowControl w:val="0"/>
        <w:autoSpaceDE w:val="0"/>
        <w:autoSpaceDN w:val="0"/>
        <w:adjustRightInd w:val="0"/>
        <w:spacing w:before="0"/>
        <w:ind w:left="480" w:hanging="480"/>
        <w:rPr>
          <w:rFonts w:cs="Times New Roman"/>
          <w:noProof/>
        </w:rPr>
      </w:pPr>
      <w:r w:rsidRPr="00814236">
        <w:rPr>
          <w:rFonts w:cs="Times New Roman"/>
          <w:noProof/>
        </w:rPr>
        <w:t xml:space="preserve">Razmara, M., Bharati, G. R., Hanover, D., Shahbakhti, M., Paudyal, S., &amp; Robinett, R. D. (2017). Building-to-grid predictive power flow control for demand response and demand flexibility programs. </w:t>
      </w:r>
      <w:r w:rsidRPr="00814236">
        <w:rPr>
          <w:rFonts w:cs="Times New Roman"/>
          <w:i/>
          <w:iCs/>
          <w:noProof/>
        </w:rPr>
        <w:t>Applied Energy</w:t>
      </w:r>
      <w:r w:rsidRPr="00814236">
        <w:rPr>
          <w:rFonts w:cs="Times New Roman"/>
          <w:noProof/>
        </w:rPr>
        <w:t xml:space="preserve">, </w:t>
      </w:r>
      <w:r w:rsidRPr="00814236">
        <w:rPr>
          <w:rFonts w:cs="Times New Roman"/>
          <w:i/>
          <w:iCs/>
          <w:noProof/>
        </w:rPr>
        <w:t>203</w:t>
      </w:r>
      <w:r w:rsidRPr="00814236">
        <w:rPr>
          <w:rFonts w:cs="Times New Roman"/>
          <w:noProof/>
        </w:rPr>
        <w:t>, 128–141. https://doi.org/10.1016/j.apenergy.2017.06.040</w:t>
      </w:r>
    </w:p>
    <w:p w14:paraId="3939242D" w14:textId="64C9EE42" w:rsidR="00DF777E" w:rsidRPr="00814236" w:rsidRDefault="00DF777E" w:rsidP="00141F1C">
      <w:pPr>
        <w:widowControl w:val="0"/>
        <w:autoSpaceDE w:val="0"/>
        <w:autoSpaceDN w:val="0"/>
        <w:adjustRightInd w:val="0"/>
        <w:spacing w:before="0"/>
        <w:ind w:left="480" w:hanging="480"/>
        <w:rPr>
          <w:rFonts w:cs="Times New Roman"/>
          <w:noProof/>
        </w:rPr>
      </w:pPr>
      <w:r w:rsidRPr="00814236">
        <w:rPr>
          <w:rFonts w:cs="Times New Roman"/>
          <w:noProof/>
        </w:rPr>
        <w:t>Tang, R., Wang, S., &amp; Yan, C. (2018). A direct load control strategy of central</w:t>
      </w:r>
      <w:r w:rsidR="00E927FA" w:rsidRPr="00814236">
        <w:rPr>
          <w:rFonts w:cs="Times New Roman"/>
          <w:noProof/>
        </w:rPr>
        <w:t>is</w:t>
      </w:r>
      <w:r w:rsidRPr="00814236">
        <w:rPr>
          <w:rFonts w:cs="Times New Roman"/>
          <w:noProof/>
        </w:rPr>
        <w:t>ed air-</w:t>
      </w:r>
      <w:r w:rsidRPr="00814236">
        <w:rPr>
          <w:rFonts w:cs="Times New Roman"/>
          <w:noProof/>
        </w:rPr>
        <w:lastRenderedPageBreak/>
        <w:t xml:space="preserve">conditioning systems for building fast demand response to urgent requests of smart grids. </w:t>
      </w:r>
      <w:r w:rsidRPr="00814236">
        <w:rPr>
          <w:rFonts w:cs="Times New Roman"/>
          <w:i/>
          <w:iCs/>
          <w:noProof/>
        </w:rPr>
        <w:t>Automation in Construction</w:t>
      </w:r>
      <w:r w:rsidRPr="00814236">
        <w:rPr>
          <w:rFonts w:cs="Times New Roman"/>
          <w:noProof/>
        </w:rPr>
        <w:t xml:space="preserve">, </w:t>
      </w:r>
      <w:r w:rsidRPr="00814236">
        <w:rPr>
          <w:rFonts w:cs="Times New Roman"/>
          <w:i/>
          <w:iCs/>
          <w:noProof/>
        </w:rPr>
        <w:t>87</w:t>
      </w:r>
      <w:r w:rsidRPr="00814236">
        <w:rPr>
          <w:rFonts w:cs="Times New Roman"/>
          <w:noProof/>
        </w:rPr>
        <w:t>, 74–83. https://doi.org/10.1016/j.autcon.2017.12.012</w:t>
      </w:r>
    </w:p>
    <w:p w14:paraId="602D9D93" w14:textId="77777777" w:rsidR="00DF777E" w:rsidRPr="00814236" w:rsidRDefault="00DF777E" w:rsidP="00141F1C">
      <w:pPr>
        <w:widowControl w:val="0"/>
        <w:autoSpaceDE w:val="0"/>
        <w:autoSpaceDN w:val="0"/>
        <w:adjustRightInd w:val="0"/>
        <w:spacing w:before="0"/>
        <w:ind w:left="480" w:hanging="480"/>
        <w:rPr>
          <w:rFonts w:cs="Times New Roman"/>
          <w:noProof/>
        </w:rPr>
      </w:pPr>
      <w:r w:rsidRPr="00814236">
        <w:rPr>
          <w:rFonts w:cs="Times New Roman"/>
          <w:noProof/>
        </w:rPr>
        <w:t>Torriti, J., Hassan, M. G., &amp; Leach, M. (2009). Demand response experience in Europe: Policies, programmes and implementation. https://doi.org/10.1016/j.energy.2009.05.021</w:t>
      </w:r>
    </w:p>
    <w:p w14:paraId="5102F854" w14:textId="77777777" w:rsidR="00DF777E" w:rsidRPr="00814236" w:rsidRDefault="00DF777E" w:rsidP="00141F1C">
      <w:pPr>
        <w:widowControl w:val="0"/>
        <w:autoSpaceDE w:val="0"/>
        <w:autoSpaceDN w:val="0"/>
        <w:adjustRightInd w:val="0"/>
        <w:spacing w:before="0"/>
        <w:ind w:left="480" w:hanging="480"/>
        <w:rPr>
          <w:rFonts w:cs="Times New Roman"/>
          <w:noProof/>
        </w:rPr>
      </w:pPr>
      <w:r w:rsidRPr="00814236">
        <w:rPr>
          <w:rFonts w:cs="Times New Roman"/>
          <w:noProof/>
        </w:rPr>
        <w:t>Weber, C. (2017). Modeling the Value of Flexible Heat Pumps, (09).</w:t>
      </w:r>
    </w:p>
    <w:p w14:paraId="79FD85E1" w14:textId="31C63B03" w:rsidR="00DF777E" w:rsidRPr="00814236" w:rsidRDefault="00DF777E" w:rsidP="00141F1C">
      <w:pPr>
        <w:widowControl w:val="0"/>
        <w:autoSpaceDE w:val="0"/>
        <w:autoSpaceDN w:val="0"/>
        <w:adjustRightInd w:val="0"/>
        <w:spacing w:before="0"/>
        <w:ind w:left="480" w:hanging="480"/>
        <w:rPr>
          <w:rFonts w:cs="Times New Roman"/>
          <w:noProof/>
        </w:rPr>
      </w:pPr>
      <w:r w:rsidRPr="00814236">
        <w:rPr>
          <w:rFonts w:cs="Times New Roman"/>
          <w:noProof/>
        </w:rPr>
        <w:t>Xue, X., Wang, S., Sun, Y., &amp; Xiao, F. (2014). An interactive building power demand management strategy for facilitating smart grid optim</w:t>
      </w:r>
      <w:r w:rsidR="00E927FA" w:rsidRPr="00814236">
        <w:rPr>
          <w:rFonts w:cs="Times New Roman"/>
          <w:noProof/>
        </w:rPr>
        <w:t>is</w:t>
      </w:r>
      <w:r w:rsidRPr="00814236">
        <w:rPr>
          <w:rFonts w:cs="Times New Roman"/>
          <w:noProof/>
        </w:rPr>
        <w:t>ation. https://doi.org/10.1016/j.apenergy.2013.11.064</w:t>
      </w:r>
    </w:p>
    <w:p w14:paraId="0E060100" w14:textId="77777777" w:rsidR="00DF777E" w:rsidRPr="00814236" w:rsidRDefault="00DF777E" w:rsidP="00141F1C">
      <w:pPr>
        <w:widowControl w:val="0"/>
        <w:autoSpaceDE w:val="0"/>
        <w:autoSpaceDN w:val="0"/>
        <w:adjustRightInd w:val="0"/>
        <w:spacing w:before="0"/>
        <w:ind w:left="480" w:hanging="480"/>
        <w:rPr>
          <w:rFonts w:cs="Times New Roman"/>
          <w:noProof/>
        </w:rPr>
      </w:pPr>
      <w:r w:rsidRPr="000E5ADA">
        <w:rPr>
          <w:rFonts w:cs="Times New Roman"/>
          <w:noProof/>
          <w:lang w:val="nl-NL"/>
        </w:rPr>
        <w:t xml:space="preserve">Yin, R., Kara, E. C., Li, Y., DeForest, N., Wang, K., Yong, T., &amp; Stadler, M. (2016). </w:t>
      </w:r>
      <w:r w:rsidRPr="00814236">
        <w:rPr>
          <w:rFonts w:cs="Times New Roman"/>
          <w:noProof/>
        </w:rPr>
        <w:t xml:space="preserve">Quantifying flexibility of commercial and residential loads for demand response using setpoint changes. </w:t>
      </w:r>
      <w:r w:rsidRPr="00814236">
        <w:rPr>
          <w:rFonts w:cs="Times New Roman"/>
          <w:i/>
          <w:iCs/>
          <w:noProof/>
        </w:rPr>
        <w:t>Applied Energy</w:t>
      </w:r>
      <w:r w:rsidRPr="00814236">
        <w:rPr>
          <w:rFonts w:cs="Times New Roman"/>
          <w:noProof/>
        </w:rPr>
        <w:t xml:space="preserve">, </w:t>
      </w:r>
      <w:r w:rsidRPr="00814236">
        <w:rPr>
          <w:rFonts w:cs="Times New Roman"/>
          <w:i/>
          <w:iCs/>
          <w:noProof/>
        </w:rPr>
        <w:t>177</w:t>
      </w:r>
      <w:r w:rsidRPr="00814236">
        <w:rPr>
          <w:rFonts w:cs="Times New Roman"/>
          <w:noProof/>
        </w:rPr>
        <w:t>, 149–164. https://doi.org/10.1016/j.apenergy.2016.05.090</w:t>
      </w:r>
    </w:p>
    <w:p w14:paraId="7CA5AA83" w14:textId="189A5B68" w:rsidR="00DF777E" w:rsidRPr="00814236" w:rsidRDefault="00DF777E" w:rsidP="00141F1C">
      <w:pPr>
        <w:widowControl w:val="0"/>
        <w:autoSpaceDE w:val="0"/>
        <w:autoSpaceDN w:val="0"/>
        <w:adjustRightInd w:val="0"/>
        <w:spacing w:before="0"/>
        <w:ind w:left="480" w:hanging="480"/>
        <w:rPr>
          <w:rFonts w:cs="Times New Roman"/>
        </w:rPr>
      </w:pPr>
      <w:r w:rsidRPr="00814236">
        <w:rPr>
          <w:rFonts w:cs="Times New Roman"/>
        </w:rPr>
        <w:fldChar w:fldCharType="end"/>
      </w:r>
    </w:p>
    <w:p w14:paraId="1E39358F" w14:textId="13A3D346" w:rsidR="0059040C" w:rsidRPr="00814236" w:rsidRDefault="0059040C" w:rsidP="007C79F3">
      <w:pPr>
        <w:spacing w:before="0" w:after="0" w:line="240" w:lineRule="auto"/>
        <w:jc w:val="left"/>
        <w:rPr>
          <w:rFonts w:cs="Times New Roman"/>
        </w:rPr>
      </w:pPr>
    </w:p>
    <w:sectPr w:rsidR="0059040C" w:rsidRPr="00814236" w:rsidSect="00A907D5">
      <w:footerReference w:type="default" r:id="rId16"/>
      <w:pgSz w:w="11900" w:h="16840"/>
      <w:pgMar w:top="1276" w:right="1418" w:bottom="1418" w:left="2268"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F79752" w14:textId="77777777" w:rsidR="00191AEA" w:rsidRDefault="00191AEA" w:rsidP="001E2F3A">
      <w:pPr>
        <w:spacing w:before="0" w:after="0" w:line="240" w:lineRule="auto"/>
      </w:pPr>
      <w:r>
        <w:separator/>
      </w:r>
    </w:p>
    <w:p w14:paraId="3574DDA9" w14:textId="77777777" w:rsidR="00191AEA" w:rsidRDefault="00191AEA"/>
  </w:endnote>
  <w:endnote w:type="continuationSeparator" w:id="0">
    <w:p w14:paraId="44C661DB" w14:textId="77777777" w:rsidR="00191AEA" w:rsidRDefault="00191AEA" w:rsidP="001E2F3A">
      <w:pPr>
        <w:spacing w:before="0" w:after="0" w:line="240" w:lineRule="auto"/>
      </w:pPr>
      <w:r>
        <w:continuationSeparator/>
      </w:r>
    </w:p>
    <w:p w14:paraId="09A4EFBF" w14:textId="77777777" w:rsidR="00191AEA" w:rsidRDefault="00191AE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1002AFF" w:usb1="C000ACFF" w:usb2="00000009" w:usb3="00000000" w:csb0="000001FF" w:csb1="00000000"/>
  </w:font>
  <w:font w:name="Segoe UI">
    <w:altName w:val="Calibr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35785729"/>
      <w:docPartObj>
        <w:docPartGallery w:val="Page Numbers (Bottom of Page)"/>
        <w:docPartUnique/>
      </w:docPartObj>
    </w:sdtPr>
    <w:sdtEndPr>
      <w:rPr>
        <w:noProof/>
      </w:rPr>
    </w:sdtEndPr>
    <w:sdtContent>
      <w:p w14:paraId="63EC5069" w14:textId="7A0CBD29" w:rsidR="00A907D5" w:rsidRDefault="00A907D5">
        <w:pPr>
          <w:pStyle w:val="Footer"/>
          <w:jc w:val="center"/>
        </w:pPr>
        <w:r>
          <w:fldChar w:fldCharType="begin"/>
        </w:r>
        <w:r>
          <w:instrText xml:space="preserve"> PAGE   \* MERGEFORMAT </w:instrText>
        </w:r>
        <w:r>
          <w:fldChar w:fldCharType="separate"/>
        </w:r>
        <w:r>
          <w:rPr>
            <w:noProof/>
          </w:rPr>
          <w:t>20</w:t>
        </w:r>
        <w:r>
          <w:rPr>
            <w:noProof/>
          </w:rPr>
          <w:fldChar w:fldCharType="end"/>
        </w:r>
      </w:p>
    </w:sdtContent>
  </w:sdt>
  <w:p w14:paraId="4141F0E6" w14:textId="77777777" w:rsidR="00A907D5" w:rsidRDefault="00A907D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99365416"/>
      <w:docPartObj>
        <w:docPartGallery w:val="Page Numbers (Bottom of Page)"/>
        <w:docPartUnique/>
      </w:docPartObj>
    </w:sdtPr>
    <w:sdtEndPr>
      <w:rPr>
        <w:noProof/>
      </w:rPr>
    </w:sdtEndPr>
    <w:sdtContent>
      <w:p w14:paraId="308D426A" w14:textId="77777777" w:rsidR="00A907D5" w:rsidRDefault="00A907D5">
        <w:pPr>
          <w:pStyle w:val="Footer"/>
          <w:jc w:val="center"/>
        </w:pPr>
        <w:r>
          <w:fldChar w:fldCharType="begin"/>
        </w:r>
        <w:r>
          <w:instrText xml:space="preserve"> PAGE   \* MERGEFORMAT </w:instrText>
        </w:r>
        <w:r>
          <w:fldChar w:fldCharType="separate"/>
        </w:r>
        <w:r>
          <w:rPr>
            <w:noProof/>
          </w:rPr>
          <w:t>20</w:t>
        </w:r>
        <w:r>
          <w:rPr>
            <w:noProof/>
          </w:rPr>
          <w:fldChar w:fldCharType="end"/>
        </w:r>
      </w:p>
    </w:sdtContent>
  </w:sdt>
  <w:p w14:paraId="36399B4C" w14:textId="77777777" w:rsidR="00A907D5" w:rsidRDefault="00A907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055707" w14:textId="77777777" w:rsidR="00191AEA" w:rsidRDefault="00191AEA" w:rsidP="001E2F3A">
      <w:pPr>
        <w:spacing w:before="0" w:after="0" w:line="240" w:lineRule="auto"/>
      </w:pPr>
      <w:r>
        <w:separator/>
      </w:r>
    </w:p>
    <w:p w14:paraId="62E88A85" w14:textId="77777777" w:rsidR="00191AEA" w:rsidRDefault="00191AEA"/>
  </w:footnote>
  <w:footnote w:type="continuationSeparator" w:id="0">
    <w:p w14:paraId="2593F37B" w14:textId="77777777" w:rsidR="00191AEA" w:rsidRDefault="00191AEA" w:rsidP="001E2F3A">
      <w:pPr>
        <w:spacing w:before="0" w:after="0" w:line="240" w:lineRule="auto"/>
      </w:pPr>
      <w:r>
        <w:continuationSeparator/>
      </w:r>
    </w:p>
    <w:p w14:paraId="37F08B41" w14:textId="77777777" w:rsidR="00191AEA" w:rsidRDefault="00191AE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626478"/>
    <w:multiLevelType w:val="multilevel"/>
    <w:tmpl w:val="5D0E3C7E"/>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2E371D97"/>
    <w:multiLevelType w:val="hybridMultilevel"/>
    <w:tmpl w:val="C226D9A6"/>
    <w:lvl w:ilvl="0" w:tplc="5630D5E8">
      <w:start w:val="1"/>
      <w:numFmt w:val="bullet"/>
      <w:lvlText w:val="•"/>
      <w:lvlJc w:val="left"/>
      <w:pPr>
        <w:tabs>
          <w:tab w:val="num" w:pos="720"/>
        </w:tabs>
        <w:ind w:left="720" w:hanging="360"/>
      </w:pPr>
      <w:rPr>
        <w:rFonts w:ascii="Arial" w:hAnsi="Arial" w:hint="default"/>
      </w:rPr>
    </w:lvl>
    <w:lvl w:ilvl="1" w:tplc="A7C6C720">
      <w:numFmt w:val="bullet"/>
      <w:lvlText w:val="•"/>
      <w:lvlJc w:val="left"/>
      <w:pPr>
        <w:tabs>
          <w:tab w:val="num" w:pos="1440"/>
        </w:tabs>
        <w:ind w:left="1440" w:hanging="360"/>
      </w:pPr>
      <w:rPr>
        <w:rFonts w:ascii="Arial" w:hAnsi="Arial" w:hint="default"/>
      </w:rPr>
    </w:lvl>
    <w:lvl w:ilvl="2" w:tplc="CB40ED6C">
      <w:numFmt w:val="bullet"/>
      <w:lvlText w:val="•"/>
      <w:lvlJc w:val="left"/>
      <w:pPr>
        <w:tabs>
          <w:tab w:val="num" w:pos="2160"/>
        </w:tabs>
        <w:ind w:left="2160" w:hanging="360"/>
      </w:pPr>
      <w:rPr>
        <w:rFonts w:ascii="Arial" w:hAnsi="Arial" w:hint="default"/>
      </w:rPr>
    </w:lvl>
    <w:lvl w:ilvl="3" w:tplc="F6023B44" w:tentative="1">
      <w:start w:val="1"/>
      <w:numFmt w:val="bullet"/>
      <w:lvlText w:val="•"/>
      <w:lvlJc w:val="left"/>
      <w:pPr>
        <w:tabs>
          <w:tab w:val="num" w:pos="2880"/>
        </w:tabs>
        <w:ind w:left="2880" w:hanging="360"/>
      </w:pPr>
      <w:rPr>
        <w:rFonts w:ascii="Arial" w:hAnsi="Arial" w:hint="default"/>
      </w:rPr>
    </w:lvl>
    <w:lvl w:ilvl="4" w:tplc="2E921970" w:tentative="1">
      <w:start w:val="1"/>
      <w:numFmt w:val="bullet"/>
      <w:lvlText w:val="•"/>
      <w:lvlJc w:val="left"/>
      <w:pPr>
        <w:tabs>
          <w:tab w:val="num" w:pos="3600"/>
        </w:tabs>
        <w:ind w:left="3600" w:hanging="360"/>
      </w:pPr>
      <w:rPr>
        <w:rFonts w:ascii="Arial" w:hAnsi="Arial" w:hint="default"/>
      </w:rPr>
    </w:lvl>
    <w:lvl w:ilvl="5" w:tplc="1E5AE022" w:tentative="1">
      <w:start w:val="1"/>
      <w:numFmt w:val="bullet"/>
      <w:lvlText w:val="•"/>
      <w:lvlJc w:val="left"/>
      <w:pPr>
        <w:tabs>
          <w:tab w:val="num" w:pos="4320"/>
        </w:tabs>
        <w:ind w:left="4320" w:hanging="360"/>
      </w:pPr>
      <w:rPr>
        <w:rFonts w:ascii="Arial" w:hAnsi="Arial" w:hint="default"/>
      </w:rPr>
    </w:lvl>
    <w:lvl w:ilvl="6" w:tplc="0B7623D2" w:tentative="1">
      <w:start w:val="1"/>
      <w:numFmt w:val="bullet"/>
      <w:lvlText w:val="•"/>
      <w:lvlJc w:val="left"/>
      <w:pPr>
        <w:tabs>
          <w:tab w:val="num" w:pos="5040"/>
        </w:tabs>
        <w:ind w:left="5040" w:hanging="360"/>
      </w:pPr>
      <w:rPr>
        <w:rFonts w:ascii="Arial" w:hAnsi="Arial" w:hint="default"/>
      </w:rPr>
    </w:lvl>
    <w:lvl w:ilvl="7" w:tplc="9B488FC2" w:tentative="1">
      <w:start w:val="1"/>
      <w:numFmt w:val="bullet"/>
      <w:lvlText w:val="•"/>
      <w:lvlJc w:val="left"/>
      <w:pPr>
        <w:tabs>
          <w:tab w:val="num" w:pos="5760"/>
        </w:tabs>
        <w:ind w:left="5760" w:hanging="360"/>
      </w:pPr>
      <w:rPr>
        <w:rFonts w:ascii="Arial" w:hAnsi="Arial" w:hint="default"/>
      </w:rPr>
    </w:lvl>
    <w:lvl w:ilvl="8" w:tplc="7E68E1D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35A513B"/>
    <w:multiLevelType w:val="multilevel"/>
    <w:tmpl w:val="43C2CAA4"/>
    <w:lvl w:ilvl="0">
      <w:start w:val="1"/>
      <w:numFmt w:val="decimal"/>
      <w:lvlText w:val="1.%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AC97A4D"/>
    <w:multiLevelType w:val="multilevel"/>
    <w:tmpl w:val="359AA27E"/>
    <w:lvl w:ilvl="0">
      <w:start w:val="1"/>
      <w:numFmt w:val="decimal"/>
      <w:lvlText w:val="%1."/>
      <w:lvlJc w:val="left"/>
      <w:pPr>
        <w:ind w:left="720" w:hanging="360"/>
      </w:pPr>
      <w:rPr>
        <w:rFonts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 w15:restartNumberingAfterBreak="0">
    <w:nsid w:val="3F485FC4"/>
    <w:multiLevelType w:val="hybridMultilevel"/>
    <w:tmpl w:val="EE8291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BF52E9"/>
    <w:multiLevelType w:val="multilevel"/>
    <w:tmpl w:val="692C337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513A6C99"/>
    <w:multiLevelType w:val="hybridMultilevel"/>
    <w:tmpl w:val="AC4EB1A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CCE64C5"/>
    <w:multiLevelType w:val="multilevel"/>
    <w:tmpl w:val="5B6CCB9A"/>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num w:numId="1">
    <w:abstractNumId w:val="6"/>
  </w:num>
  <w:num w:numId="2">
    <w:abstractNumId w:val="4"/>
  </w:num>
  <w:num w:numId="3">
    <w:abstractNumId w:val="1"/>
  </w:num>
  <w:num w:numId="4">
    <w:abstractNumId w:val="7"/>
  </w:num>
  <w:num w:numId="5">
    <w:abstractNumId w:val="5"/>
  </w:num>
  <w:num w:numId="6">
    <w:abstractNumId w:val="2"/>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hideSpellingErrors/>
  <w:hideGrammaticalErrors/>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55FE"/>
    <w:rsid w:val="00011915"/>
    <w:rsid w:val="000129E5"/>
    <w:rsid w:val="00013B4C"/>
    <w:rsid w:val="00016C55"/>
    <w:rsid w:val="000256C5"/>
    <w:rsid w:val="00025C1D"/>
    <w:rsid w:val="000317B4"/>
    <w:rsid w:val="00031B14"/>
    <w:rsid w:val="000347C0"/>
    <w:rsid w:val="0003504C"/>
    <w:rsid w:val="00035F4A"/>
    <w:rsid w:val="00036354"/>
    <w:rsid w:val="00040905"/>
    <w:rsid w:val="00040CCB"/>
    <w:rsid w:val="0004112C"/>
    <w:rsid w:val="00042280"/>
    <w:rsid w:val="00042DB3"/>
    <w:rsid w:val="00044251"/>
    <w:rsid w:val="0004486D"/>
    <w:rsid w:val="00047105"/>
    <w:rsid w:val="00052F10"/>
    <w:rsid w:val="0005378F"/>
    <w:rsid w:val="00053C8F"/>
    <w:rsid w:val="00056593"/>
    <w:rsid w:val="00057BA4"/>
    <w:rsid w:val="00064CE1"/>
    <w:rsid w:val="00064F61"/>
    <w:rsid w:val="00070105"/>
    <w:rsid w:val="00072131"/>
    <w:rsid w:val="00076779"/>
    <w:rsid w:val="00081304"/>
    <w:rsid w:val="00081EB5"/>
    <w:rsid w:val="00082502"/>
    <w:rsid w:val="000832A8"/>
    <w:rsid w:val="000858EA"/>
    <w:rsid w:val="00092360"/>
    <w:rsid w:val="00093E5A"/>
    <w:rsid w:val="000953D7"/>
    <w:rsid w:val="00097920"/>
    <w:rsid w:val="000A0270"/>
    <w:rsid w:val="000A0650"/>
    <w:rsid w:val="000A093B"/>
    <w:rsid w:val="000A15D3"/>
    <w:rsid w:val="000A629A"/>
    <w:rsid w:val="000B091C"/>
    <w:rsid w:val="000B2CE0"/>
    <w:rsid w:val="000B418D"/>
    <w:rsid w:val="000B4C4F"/>
    <w:rsid w:val="000C0027"/>
    <w:rsid w:val="000C1676"/>
    <w:rsid w:val="000C5909"/>
    <w:rsid w:val="000D0EB5"/>
    <w:rsid w:val="000D1324"/>
    <w:rsid w:val="000E0127"/>
    <w:rsid w:val="000E0806"/>
    <w:rsid w:val="000E572B"/>
    <w:rsid w:val="000E5ADA"/>
    <w:rsid w:val="000E5C6E"/>
    <w:rsid w:val="000E7E05"/>
    <w:rsid w:val="000F043F"/>
    <w:rsid w:val="000F0834"/>
    <w:rsid w:val="000F2F3F"/>
    <w:rsid w:val="000F4128"/>
    <w:rsid w:val="000F5407"/>
    <w:rsid w:val="000F5978"/>
    <w:rsid w:val="000F6436"/>
    <w:rsid w:val="000F74E5"/>
    <w:rsid w:val="00100F9C"/>
    <w:rsid w:val="00101138"/>
    <w:rsid w:val="00101EE0"/>
    <w:rsid w:val="00104773"/>
    <w:rsid w:val="0011173C"/>
    <w:rsid w:val="001229E4"/>
    <w:rsid w:val="001252A8"/>
    <w:rsid w:val="00127549"/>
    <w:rsid w:val="001301C7"/>
    <w:rsid w:val="001306C0"/>
    <w:rsid w:val="00130B30"/>
    <w:rsid w:val="001324EF"/>
    <w:rsid w:val="00134254"/>
    <w:rsid w:val="00134B3C"/>
    <w:rsid w:val="00136E5B"/>
    <w:rsid w:val="00137F12"/>
    <w:rsid w:val="00140AF2"/>
    <w:rsid w:val="00141F1C"/>
    <w:rsid w:val="00144AF4"/>
    <w:rsid w:val="001468B3"/>
    <w:rsid w:val="00146AC0"/>
    <w:rsid w:val="001513BF"/>
    <w:rsid w:val="0015432C"/>
    <w:rsid w:val="001545C1"/>
    <w:rsid w:val="00160333"/>
    <w:rsid w:val="001625C1"/>
    <w:rsid w:val="001727D6"/>
    <w:rsid w:val="00174232"/>
    <w:rsid w:val="0017466A"/>
    <w:rsid w:val="00174BA2"/>
    <w:rsid w:val="0017792A"/>
    <w:rsid w:val="001809D2"/>
    <w:rsid w:val="00185FFC"/>
    <w:rsid w:val="00186075"/>
    <w:rsid w:val="0018782C"/>
    <w:rsid w:val="00190CEE"/>
    <w:rsid w:val="00191AEA"/>
    <w:rsid w:val="00192842"/>
    <w:rsid w:val="00195270"/>
    <w:rsid w:val="0019529D"/>
    <w:rsid w:val="00196808"/>
    <w:rsid w:val="00197237"/>
    <w:rsid w:val="001A069C"/>
    <w:rsid w:val="001A517C"/>
    <w:rsid w:val="001A5768"/>
    <w:rsid w:val="001A67A1"/>
    <w:rsid w:val="001B08EC"/>
    <w:rsid w:val="001B2300"/>
    <w:rsid w:val="001B5DE4"/>
    <w:rsid w:val="001B60EB"/>
    <w:rsid w:val="001C16CF"/>
    <w:rsid w:val="001C55FE"/>
    <w:rsid w:val="001C589E"/>
    <w:rsid w:val="001D01B5"/>
    <w:rsid w:val="001D12C9"/>
    <w:rsid w:val="001D19CF"/>
    <w:rsid w:val="001D65A5"/>
    <w:rsid w:val="001D6CFC"/>
    <w:rsid w:val="001D7C18"/>
    <w:rsid w:val="001E1E2B"/>
    <w:rsid w:val="001E2F3A"/>
    <w:rsid w:val="001E3D4B"/>
    <w:rsid w:val="001E69FE"/>
    <w:rsid w:val="001F08F8"/>
    <w:rsid w:val="001F3697"/>
    <w:rsid w:val="001F73F4"/>
    <w:rsid w:val="002055EF"/>
    <w:rsid w:val="0020752A"/>
    <w:rsid w:val="0021576F"/>
    <w:rsid w:val="0021591E"/>
    <w:rsid w:val="002163EC"/>
    <w:rsid w:val="00223050"/>
    <w:rsid w:val="00225768"/>
    <w:rsid w:val="0023211F"/>
    <w:rsid w:val="00233296"/>
    <w:rsid w:val="00233ECC"/>
    <w:rsid w:val="00234716"/>
    <w:rsid w:val="00234CFC"/>
    <w:rsid w:val="00235DC1"/>
    <w:rsid w:val="002408BC"/>
    <w:rsid w:val="002425BE"/>
    <w:rsid w:val="002468F0"/>
    <w:rsid w:val="0024789E"/>
    <w:rsid w:val="00255D2F"/>
    <w:rsid w:val="00260236"/>
    <w:rsid w:val="00266A94"/>
    <w:rsid w:val="0027091D"/>
    <w:rsid w:val="00272044"/>
    <w:rsid w:val="0027380E"/>
    <w:rsid w:val="00280727"/>
    <w:rsid w:val="00282971"/>
    <w:rsid w:val="00282D8B"/>
    <w:rsid w:val="00283F5A"/>
    <w:rsid w:val="00284798"/>
    <w:rsid w:val="00284A61"/>
    <w:rsid w:val="002863EB"/>
    <w:rsid w:val="00287DD0"/>
    <w:rsid w:val="002915D5"/>
    <w:rsid w:val="00295969"/>
    <w:rsid w:val="00295A2F"/>
    <w:rsid w:val="002A5DF7"/>
    <w:rsid w:val="002A68E7"/>
    <w:rsid w:val="002B628E"/>
    <w:rsid w:val="002B7FBE"/>
    <w:rsid w:val="002C1341"/>
    <w:rsid w:val="002C169B"/>
    <w:rsid w:val="002C19A9"/>
    <w:rsid w:val="002C6871"/>
    <w:rsid w:val="002C699F"/>
    <w:rsid w:val="002C6C5D"/>
    <w:rsid w:val="002D17B2"/>
    <w:rsid w:val="002D29F8"/>
    <w:rsid w:val="002D2D97"/>
    <w:rsid w:val="002D386B"/>
    <w:rsid w:val="002D3EA2"/>
    <w:rsid w:val="002D5015"/>
    <w:rsid w:val="002D5E06"/>
    <w:rsid w:val="002D61A3"/>
    <w:rsid w:val="002D63BF"/>
    <w:rsid w:val="002D7733"/>
    <w:rsid w:val="002E299B"/>
    <w:rsid w:val="002E5B00"/>
    <w:rsid w:val="002F02B6"/>
    <w:rsid w:val="002F3DB4"/>
    <w:rsid w:val="002F3E14"/>
    <w:rsid w:val="0030067C"/>
    <w:rsid w:val="0030417F"/>
    <w:rsid w:val="0030429C"/>
    <w:rsid w:val="00313511"/>
    <w:rsid w:val="00315F95"/>
    <w:rsid w:val="00317A39"/>
    <w:rsid w:val="003242F4"/>
    <w:rsid w:val="00325F19"/>
    <w:rsid w:val="00326926"/>
    <w:rsid w:val="00326A43"/>
    <w:rsid w:val="00327345"/>
    <w:rsid w:val="003278E8"/>
    <w:rsid w:val="003309F5"/>
    <w:rsid w:val="0033439A"/>
    <w:rsid w:val="0033499D"/>
    <w:rsid w:val="003363AA"/>
    <w:rsid w:val="003364BB"/>
    <w:rsid w:val="00337547"/>
    <w:rsid w:val="00345448"/>
    <w:rsid w:val="003461FD"/>
    <w:rsid w:val="00347D00"/>
    <w:rsid w:val="00351DF7"/>
    <w:rsid w:val="003556A9"/>
    <w:rsid w:val="00356B8A"/>
    <w:rsid w:val="0035790E"/>
    <w:rsid w:val="00360FBB"/>
    <w:rsid w:val="00363CA0"/>
    <w:rsid w:val="00367628"/>
    <w:rsid w:val="003703E3"/>
    <w:rsid w:val="003725A6"/>
    <w:rsid w:val="00372A36"/>
    <w:rsid w:val="00377F8B"/>
    <w:rsid w:val="00381275"/>
    <w:rsid w:val="0038149C"/>
    <w:rsid w:val="00385767"/>
    <w:rsid w:val="00391C59"/>
    <w:rsid w:val="00392E04"/>
    <w:rsid w:val="0039462E"/>
    <w:rsid w:val="0039565E"/>
    <w:rsid w:val="00397E26"/>
    <w:rsid w:val="003A42EE"/>
    <w:rsid w:val="003A4E97"/>
    <w:rsid w:val="003A5DA0"/>
    <w:rsid w:val="003B0245"/>
    <w:rsid w:val="003B0C05"/>
    <w:rsid w:val="003B1BBB"/>
    <w:rsid w:val="003B237A"/>
    <w:rsid w:val="003B690D"/>
    <w:rsid w:val="003B6BEC"/>
    <w:rsid w:val="003B6F2B"/>
    <w:rsid w:val="003C0310"/>
    <w:rsid w:val="003C1B71"/>
    <w:rsid w:val="003C3B6F"/>
    <w:rsid w:val="003C3CA0"/>
    <w:rsid w:val="003C4109"/>
    <w:rsid w:val="003C4BAB"/>
    <w:rsid w:val="003C5776"/>
    <w:rsid w:val="003D01AC"/>
    <w:rsid w:val="003E05FC"/>
    <w:rsid w:val="003E3A4D"/>
    <w:rsid w:val="003E3B92"/>
    <w:rsid w:val="003E51DB"/>
    <w:rsid w:val="003F333C"/>
    <w:rsid w:val="003F49A5"/>
    <w:rsid w:val="003F4ACD"/>
    <w:rsid w:val="003F61B6"/>
    <w:rsid w:val="003F6BE9"/>
    <w:rsid w:val="00403405"/>
    <w:rsid w:val="0040443F"/>
    <w:rsid w:val="00404CBB"/>
    <w:rsid w:val="00406D64"/>
    <w:rsid w:val="0041023F"/>
    <w:rsid w:val="00416412"/>
    <w:rsid w:val="00416D05"/>
    <w:rsid w:val="0042000A"/>
    <w:rsid w:val="00420D80"/>
    <w:rsid w:val="00421F39"/>
    <w:rsid w:val="004264D1"/>
    <w:rsid w:val="00426B9A"/>
    <w:rsid w:val="00427657"/>
    <w:rsid w:val="00430912"/>
    <w:rsid w:val="004357A6"/>
    <w:rsid w:val="004371A4"/>
    <w:rsid w:val="00440BF8"/>
    <w:rsid w:val="00440D9C"/>
    <w:rsid w:val="00442663"/>
    <w:rsid w:val="00446F0D"/>
    <w:rsid w:val="004532AE"/>
    <w:rsid w:val="0045357F"/>
    <w:rsid w:val="00455D6F"/>
    <w:rsid w:val="004668CE"/>
    <w:rsid w:val="00467031"/>
    <w:rsid w:val="00474224"/>
    <w:rsid w:val="00476631"/>
    <w:rsid w:val="00480B25"/>
    <w:rsid w:val="00484EED"/>
    <w:rsid w:val="0048695B"/>
    <w:rsid w:val="0048734C"/>
    <w:rsid w:val="004931A7"/>
    <w:rsid w:val="00494263"/>
    <w:rsid w:val="00494AF7"/>
    <w:rsid w:val="0049522D"/>
    <w:rsid w:val="00495651"/>
    <w:rsid w:val="004A02B6"/>
    <w:rsid w:val="004A3156"/>
    <w:rsid w:val="004A585F"/>
    <w:rsid w:val="004A6B67"/>
    <w:rsid w:val="004B0D94"/>
    <w:rsid w:val="004B2C9E"/>
    <w:rsid w:val="004B3688"/>
    <w:rsid w:val="004B7E0C"/>
    <w:rsid w:val="004C1E1F"/>
    <w:rsid w:val="004C25DF"/>
    <w:rsid w:val="004C28DE"/>
    <w:rsid w:val="004D434A"/>
    <w:rsid w:val="004D59A7"/>
    <w:rsid w:val="004D7C95"/>
    <w:rsid w:val="004E0EF9"/>
    <w:rsid w:val="004E116D"/>
    <w:rsid w:val="004E32E4"/>
    <w:rsid w:val="004E3C20"/>
    <w:rsid w:val="004E48EC"/>
    <w:rsid w:val="004F2006"/>
    <w:rsid w:val="004F2352"/>
    <w:rsid w:val="004F63E3"/>
    <w:rsid w:val="004F6EF0"/>
    <w:rsid w:val="00507B92"/>
    <w:rsid w:val="00511049"/>
    <w:rsid w:val="0051122B"/>
    <w:rsid w:val="005132A5"/>
    <w:rsid w:val="00514CE2"/>
    <w:rsid w:val="005222BD"/>
    <w:rsid w:val="00523407"/>
    <w:rsid w:val="00526995"/>
    <w:rsid w:val="00532457"/>
    <w:rsid w:val="005325FB"/>
    <w:rsid w:val="0053274B"/>
    <w:rsid w:val="00532A6E"/>
    <w:rsid w:val="005332F2"/>
    <w:rsid w:val="005335AA"/>
    <w:rsid w:val="0054296C"/>
    <w:rsid w:val="00546AAC"/>
    <w:rsid w:val="005501C4"/>
    <w:rsid w:val="005501FC"/>
    <w:rsid w:val="00551B7B"/>
    <w:rsid w:val="0055202F"/>
    <w:rsid w:val="00552447"/>
    <w:rsid w:val="0055376A"/>
    <w:rsid w:val="005579F8"/>
    <w:rsid w:val="00560AC0"/>
    <w:rsid w:val="00560F53"/>
    <w:rsid w:val="00561C3E"/>
    <w:rsid w:val="00562F28"/>
    <w:rsid w:val="00563AC1"/>
    <w:rsid w:val="00563AF8"/>
    <w:rsid w:val="00564D93"/>
    <w:rsid w:val="00567741"/>
    <w:rsid w:val="00572105"/>
    <w:rsid w:val="0057567A"/>
    <w:rsid w:val="00575F85"/>
    <w:rsid w:val="0057714D"/>
    <w:rsid w:val="00581035"/>
    <w:rsid w:val="00582161"/>
    <w:rsid w:val="0058373E"/>
    <w:rsid w:val="0059040C"/>
    <w:rsid w:val="005927F9"/>
    <w:rsid w:val="00592C2C"/>
    <w:rsid w:val="0059422B"/>
    <w:rsid w:val="005A0A48"/>
    <w:rsid w:val="005A1B50"/>
    <w:rsid w:val="005A22EC"/>
    <w:rsid w:val="005A3E87"/>
    <w:rsid w:val="005A55B4"/>
    <w:rsid w:val="005A672E"/>
    <w:rsid w:val="005B3082"/>
    <w:rsid w:val="005B3655"/>
    <w:rsid w:val="005B564E"/>
    <w:rsid w:val="005B7293"/>
    <w:rsid w:val="005B72DA"/>
    <w:rsid w:val="005C7F1F"/>
    <w:rsid w:val="005D4B80"/>
    <w:rsid w:val="005D53A5"/>
    <w:rsid w:val="005D5674"/>
    <w:rsid w:val="005D70F3"/>
    <w:rsid w:val="005E210B"/>
    <w:rsid w:val="005E28AD"/>
    <w:rsid w:val="005E51D2"/>
    <w:rsid w:val="005E6301"/>
    <w:rsid w:val="005E67EF"/>
    <w:rsid w:val="005E6D7A"/>
    <w:rsid w:val="005F0F55"/>
    <w:rsid w:val="005F2400"/>
    <w:rsid w:val="005F53AD"/>
    <w:rsid w:val="005F7BAC"/>
    <w:rsid w:val="00605CB4"/>
    <w:rsid w:val="00605FAD"/>
    <w:rsid w:val="00612941"/>
    <w:rsid w:val="0061419E"/>
    <w:rsid w:val="006172EB"/>
    <w:rsid w:val="0062314F"/>
    <w:rsid w:val="006233ED"/>
    <w:rsid w:val="006324A9"/>
    <w:rsid w:val="00632933"/>
    <w:rsid w:val="00633E95"/>
    <w:rsid w:val="0063753D"/>
    <w:rsid w:val="00640C27"/>
    <w:rsid w:val="00643C20"/>
    <w:rsid w:val="00644ED8"/>
    <w:rsid w:val="006452A6"/>
    <w:rsid w:val="0064575C"/>
    <w:rsid w:val="00645899"/>
    <w:rsid w:val="006465EB"/>
    <w:rsid w:val="006479E7"/>
    <w:rsid w:val="00651B0D"/>
    <w:rsid w:val="00651DD0"/>
    <w:rsid w:val="00654E01"/>
    <w:rsid w:val="00655440"/>
    <w:rsid w:val="006557E7"/>
    <w:rsid w:val="006578EC"/>
    <w:rsid w:val="006602FF"/>
    <w:rsid w:val="006603EA"/>
    <w:rsid w:val="0066209C"/>
    <w:rsid w:val="006623C7"/>
    <w:rsid w:val="00666F9D"/>
    <w:rsid w:val="0067076F"/>
    <w:rsid w:val="00672921"/>
    <w:rsid w:val="00674EFA"/>
    <w:rsid w:val="00680568"/>
    <w:rsid w:val="00682F81"/>
    <w:rsid w:val="00683CAD"/>
    <w:rsid w:val="00685AC8"/>
    <w:rsid w:val="00687BA6"/>
    <w:rsid w:val="00690AB7"/>
    <w:rsid w:val="00690D5A"/>
    <w:rsid w:val="00690DE0"/>
    <w:rsid w:val="0069701F"/>
    <w:rsid w:val="006A0B4C"/>
    <w:rsid w:val="006A1281"/>
    <w:rsid w:val="006A3379"/>
    <w:rsid w:val="006B0E6D"/>
    <w:rsid w:val="006B4116"/>
    <w:rsid w:val="006B4170"/>
    <w:rsid w:val="006C05ED"/>
    <w:rsid w:val="006C0DC1"/>
    <w:rsid w:val="006C455E"/>
    <w:rsid w:val="006C4CDD"/>
    <w:rsid w:val="006C60D4"/>
    <w:rsid w:val="006C7079"/>
    <w:rsid w:val="006D2FC7"/>
    <w:rsid w:val="006D37DD"/>
    <w:rsid w:val="006D464F"/>
    <w:rsid w:val="006D4FD2"/>
    <w:rsid w:val="006D6C0A"/>
    <w:rsid w:val="006D7C45"/>
    <w:rsid w:val="006D7D49"/>
    <w:rsid w:val="006E1190"/>
    <w:rsid w:val="006E216D"/>
    <w:rsid w:val="006E28B0"/>
    <w:rsid w:val="006E4834"/>
    <w:rsid w:val="006E7D0C"/>
    <w:rsid w:val="006F1D66"/>
    <w:rsid w:val="006F60D6"/>
    <w:rsid w:val="007033E8"/>
    <w:rsid w:val="00703B19"/>
    <w:rsid w:val="0070755F"/>
    <w:rsid w:val="00713482"/>
    <w:rsid w:val="007172F9"/>
    <w:rsid w:val="007216B8"/>
    <w:rsid w:val="0072628F"/>
    <w:rsid w:val="0072669A"/>
    <w:rsid w:val="007266F8"/>
    <w:rsid w:val="007300EA"/>
    <w:rsid w:val="00733501"/>
    <w:rsid w:val="00735F04"/>
    <w:rsid w:val="007362C6"/>
    <w:rsid w:val="00741D75"/>
    <w:rsid w:val="00742FCC"/>
    <w:rsid w:val="007437AD"/>
    <w:rsid w:val="0074469B"/>
    <w:rsid w:val="00746D61"/>
    <w:rsid w:val="00746EC9"/>
    <w:rsid w:val="00750B6B"/>
    <w:rsid w:val="00752538"/>
    <w:rsid w:val="007527E4"/>
    <w:rsid w:val="0075701D"/>
    <w:rsid w:val="007614B7"/>
    <w:rsid w:val="00764C1C"/>
    <w:rsid w:val="00767B55"/>
    <w:rsid w:val="00773155"/>
    <w:rsid w:val="007753F7"/>
    <w:rsid w:val="00776EA7"/>
    <w:rsid w:val="0078016F"/>
    <w:rsid w:val="007837C8"/>
    <w:rsid w:val="007837FD"/>
    <w:rsid w:val="0078465C"/>
    <w:rsid w:val="00793C10"/>
    <w:rsid w:val="00794BAC"/>
    <w:rsid w:val="007976AF"/>
    <w:rsid w:val="007A06C8"/>
    <w:rsid w:val="007A15DE"/>
    <w:rsid w:val="007A3098"/>
    <w:rsid w:val="007A41DA"/>
    <w:rsid w:val="007A4D56"/>
    <w:rsid w:val="007A5B20"/>
    <w:rsid w:val="007A5D57"/>
    <w:rsid w:val="007B23E8"/>
    <w:rsid w:val="007B3E34"/>
    <w:rsid w:val="007B40F0"/>
    <w:rsid w:val="007B5BC4"/>
    <w:rsid w:val="007B7755"/>
    <w:rsid w:val="007C10B9"/>
    <w:rsid w:val="007C1D8E"/>
    <w:rsid w:val="007C359E"/>
    <w:rsid w:val="007C3CB5"/>
    <w:rsid w:val="007C79F3"/>
    <w:rsid w:val="007D3D9F"/>
    <w:rsid w:val="007D5A53"/>
    <w:rsid w:val="007D6F9D"/>
    <w:rsid w:val="007E2749"/>
    <w:rsid w:val="007F0F92"/>
    <w:rsid w:val="007F1AEC"/>
    <w:rsid w:val="007F3B6F"/>
    <w:rsid w:val="007F5608"/>
    <w:rsid w:val="007F5D79"/>
    <w:rsid w:val="007F5F64"/>
    <w:rsid w:val="007F7108"/>
    <w:rsid w:val="007F7142"/>
    <w:rsid w:val="00800228"/>
    <w:rsid w:val="00807FE2"/>
    <w:rsid w:val="00811258"/>
    <w:rsid w:val="00811AFD"/>
    <w:rsid w:val="008133FD"/>
    <w:rsid w:val="00814236"/>
    <w:rsid w:val="00815507"/>
    <w:rsid w:val="0081598B"/>
    <w:rsid w:val="00820A6F"/>
    <w:rsid w:val="00820A8C"/>
    <w:rsid w:val="008213AC"/>
    <w:rsid w:val="008214E3"/>
    <w:rsid w:val="00826831"/>
    <w:rsid w:val="0082796F"/>
    <w:rsid w:val="00827D21"/>
    <w:rsid w:val="008302D5"/>
    <w:rsid w:val="0083078B"/>
    <w:rsid w:val="00830E92"/>
    <w:rsid w:val="00835393"/>
    <w:rsid w:val="00837827"/>
    <w:rsid w:val="00842E20"/>
    <w:rsid w:val="008434D8"/>
    <w:rsid w:val="00845206"/>
    <w:rsid w:val="00847E99"/>
    <w:rsid w:val="00850BA8"/>
    <w:rsid w:val="00851659"/>
    <w:rsid w:val="00851902"/>
    <w:rsid w:val="0085339C"/>
    <w:rsid w:val="008542D9"/>
    <w:rsid w:val="008621F6"/>
    <w:rsid w:val="00863E7D"/>
    <w:rsid w:val="008671D7"/>
    <w:rsid w:val="00867353"/>
    <w:rsid w:val="008678FC"/>
    <w:rsid w:val="00870068"/>
    <w:rsid w:val="008708BA"/>
    <w:rsid w:val="00873EA2"/>
    <w:rsid w:val="00874389"/>
    <w:rsid w:val="00874FEE"/>
    <w:rsid w:val="008763F1"/>
    <w:rsid w:val="00876FCE"/>
    <w:rsid w:val="0088011B"/>
    <w:rsid w:val="008801C4"/>
    <w:rsid w:val="00880713"/>
    <w:rsid w:val="0088084C"/>
    <w:rsid w:val="00881021"/>
    <w:rsid w:val="00882368"/>
    <w:rsid w:val="008835AB"/>
    <w:rsid w:val="00886BD5"/>
    <w:rsid w:val="00890D34"/>
    <w:rsid w:val="008919C6"/>
    <w:rsid w:val="0089377E"/>
    <w:rsid w:val="00896E9F"/>
    <w:rsid w:val="008A6E48"/>
    <w:rsid w:val="008B10A0"/>
    <w:rsid w:val="008B26B5"/>
    <w:rsid w:val="008B36A6"/>
    <w:rsid w:val="008B3EAF"/>
    <w:rsid w:val="008B40E6"/>
    <w:rsid w:val="008B43C8"/>
    <w:rsid w:val="008B6BB3"/>
    <w:rsid w:val="008C064D"/>
    <w:rsid w:val="008C07E5"/>
    <w:rsid w:val="008C2382"/>
    <w:rsid w:val="008C2B30"/>
    <w:rsid w:val="008C3150"/>
    <w:rsid w:val="008C5B40"/>
    <w:rsid w:val="008D3E82"/>
    <w:rsid w:val="008D46D3"/>
    <w:rsid w:val="008D6054"/>
    <w:rsid w:val="008E1A20"/>
    <w:rsid w:val="008E2C80"/>
    <w:rsid w:val="008E2F93"/>
    <w:rsid w:val="008E4BFE"/>
    <w:rsid w:val="008E4DE5"/>
    <w:rsid w:val="008E54D9"/>
    <w:rsid w:val="008F2AFD"/>
    <w:rsid w:val="008F427C"/>
    <w:rsid w:val="008F4940"/>
    <w:rsid w:val="008F5E84"/>
    <w:rsid w:val="00900002"/>
    <w:rsid w:val="00900AB1"/>
    <w:rsid w:val="00902B1C"/>
    <w:rsid w:val="00904DB2"/>
    <w:rsid w:val="00905E7F"/>
    <w:rsid w:val="00910825"/>
    <w:rsid w:val="00913281"/>
    <w:rsid w:val="0091470E"/>
    <w:rsid w:val="00915020"/>
    <w:rsid w:val="00915097"/>
    <w:rsid w:val="00915763"/>
    <w:rsid w:val="00915A60"/>
    <w:rsid w:val="009209E0"/>
    <w:rsid w:val="00920D5D"/>
    <w:rsid w:val="0092267C"/>
    <w:rsid w:val="009308F9"/>
    <w:rsid w:val="00936B54"/>
    <w:rsid w:val="009404C2"/>
    <w:rsid w:val="009432C0"/>
    <w:rsid w:val="00946823"/>
    <w:rsid w:val="00947C4A"/>
    <w:rsid w:val="009524DB"/>
    <w:rsid w:val="00953797"/>
    <w:rsid w:val="0095505F"/>
    <w:rsid w:val="00957FB1"/>
    <w:rsid w:val="0096211B"/>
    <w:rsid w:val="0096236D"/>
    <w:rsid w:val="009626E6"/>
    <w:rsid w:val="00962EDE"/>
    <w:rsid w:val="00964CE1"/>
    <w:rsid w:val="0096552E"/>
    <w:rsid w:val="009661ED"/>
    <w:rsid w:val="00967E5B"/>
    <w:rsid w:val="00970E5C"/>
    <w:rsid w:val="00975A5C"/>
    <w:rsid w:val="00975B02"/>
    <w:rsid w:val="009818C0"/>
    <w:rsid w:val="00985C8B"/>
    <w:rsid w:val="009900E0"/>
    <w:rsid w:val="00991959"/>
    <w:rsid w:val="00992E0E"/>
    <w:rsid w:val="00994CC7"/>
    <w:rsid w:val="00996859"/>
    <w:rsid w:val="009A10F5"/>
    <w:rsid w:val="009A2AD0"/>
    <w:rsid w:val="009A724D"/>
    <w:rsid w:val="009A7879"/>
    <w:rsid w:val="009A7B28"/>
    <w:rsid w:val="009B06E0"/>
    <w:rsid w:val="009B1A70"/>
    <w:rsid w:val="009B2952"/>
    <w:rsid w:val="009B2D13"/>
    <w:rsid w:val="009D02B9"/>
    <w:rsid w:val="009D1246"/>
    <w:rsid w:val="009D2BFF"/>
    <w:rsid w:val="009D2F1C"/>
    <w:rsid w:val="009D3CF8"/>
    <w:rsid w:val="009D3F68"/>
    <w:rsid w:val="009D4C6E"/>
    <w:rsid w:val="009D5EC8"/>
    <w:rsid w:val="009E1CE3"/>
    <w:rsid w:val="009E24BF"/>
    <w:rsid w:val="009E2893"/>
    <w:rsid w:val="009E432D"/>
    <w:rsid w:val="009F28FB"/>
    <w:rsid w:val="009F2C8C"/>
    <w:rsid w:val="009F465A"/>
    <w:rsid w:val="009F550D"/>
    <w:rsid w:val="009F5A58"/>
    <w:rsid w:val="00A10CD6"/>
    <w:rsid w:val="00A16DA4"/>
    <w:rsid w:val="00A21326"/>
    <w:rsid w:val="00A22395"/>
    <w:rsid w:val="00A258BB"/>
    <w:rsid w:val="00A273FF"/>
    <w:rsid w:val="00A302C2"/>
    <w:rsid w:val="00A3230F"/>
    <w:rsid w:val="00A3246D"/>
    <w:rsid w:val="00A3261B"/>
    <w:rsid w:val="00A35550"/>
    <w:rsid w:val="00A361EF"/>
    <w:rsid w:val="00A37412"/>
    <w:rsid w:val="00A40141"/>
    <w:rsid w:val="00A41ABE"/>
    <w:rsid w:val="00A42D3C"/>
    <w:rsid w:val="00A44EDE"/>
    <w:rsid w:val="00A500AD"/>
    <w:rsid w:val="00A503C3"/>
    <w:rsid w:val="00A52011"/>
    <w:rsid w:val="00A52E2B"/>
    <w:rsid w:val="00A53C45"/>
    <w:rsid w:val="00A55697"/>
    <w:rsid w:val="00A55FB5"/>
    <w:rsid w:val="00A56899"/>
    <w:rsid w:val="00A601AC"/>
    <w:rsid w:val="00A63DCE"/>
    <w:rsid w:val="00A66234"/>
    <w:rsid w:val="00A66C37"/>
    <w:rsid w:val="00A674B9"/>
    <w:rsid w:val="00A707F6"/>
    <w:rsid w:val="00A70C14"/>
    <w:rsid w:val="00A71904"/>
    <w:rsid w:val="00A72D19"/>
    <w:rsid w:val="00A73BF6"/>
    <w:rsid w:val="00A7429C"/>
    <w:rsid w:val="00A74865"/>
    <w:rsid w:val="00A751C6"/>
    <w:rsid w:val="00A75C5F"/>
    <w:rsid w:val="00A80108"/>
    <w:rsid w:val="00A80D4A"/>
    <w:rsid w:val="00A81C19"/>
    <w:rsid w:val="00A83106"/>
    <w:rsid w:val="00A8561F"/>
    <w:rsid w:val="00A86E19"/>
    <w:rsid w:val="00A87059"/>
    <w:rsid w:val="00A907D5"/>
    <w:rsid w:val="00A917AE"/>
    <w:rsid w:val="00A91CA6"/>
    <w:rsid w:val="00A938F5"/>
    <w:rsid w:val="00A9592B"/>
    <w:rsid w:val="00AA05A9"/>
    <w:rsid w:val="00AA2741"/>
    <w:rsid w:val="00AA3C4E"/>
    <w:rsid w:val="00AA494C"/>
    <w:rsid w:val="00AA60EE"/>
    <w:rsid w:val="00AA7258"/>
    <w:rsid w:val="00AA7AE8"/>
    <w:rsid w:val="00AB1B95"/>
    <w:rsid w:val="00AB1F05"/>
    <w:rsid w:val="00AB48A3"/>
    <w:rsid w:val="00AB59D4"/>
    <w:rsid w:val="00AC11B8"/>
    <w:rsid w:val="00AC1EDB"/>
    <w:rsid w:val="00AC2EF8"/>
    <w:rsid w:val="00AC2EFE"/>
    <w:rsid w:val="00AC3EFA"/>
    <w:rsid w:val="00AC5025"/>
    <w:rsid w:val="00AC50A9"/>
    <w:rsid w:val="00AC5422"/>
    <w:rsid w:val="00AC5444"/>
    <w:rsid w:val="00AD1D04"/>
    <w:rsid w:val="00AD4B4A"/>
    <w:rsid w:val="00AE11FA"/>
    <w:rsid w:val="00AF38FD"/>
    <w:rsid w:val="00AF404B"/>
    <w:rsid w:val="00AF5E74"/>
    <w:rsid w:val="00AF5F4B"/>
    <w:rsid w:val="00AF7C64"/>
    <w:rsid w:val="00B00A2B"/>
    <w:rsid w:val="00B00AD3"/>
    <w:rsid w:val="00B01306"/>
    <w:rsid w:val="00B03A32"/>
    <w:rsid w:val="00B06EF1"/>
    <w:rsid w:val="00B07154"/>
    <w:rsid w:val="00B07FDF"/>
    <w:rsid w:val="00B1217A"/>
    <w:rsid w:val="00B143DF"/>
    <w:rsid w:val="00B17E0E"/>
    <w:rsid w:val="00B21C57"/>
    <w:rsid w:val="00B312E9"/>
    <w:rsid w:val="00B3210F"/>
    <w:rsid w:val="00B324DC"/>
    <w:rsid w:val="00B332E1"/>
    <w:rsid w:val="00B35086"/>
    <w:rsid w:val="00B355E8"/>
    <w:rsid w:val="00B361D4"/>
    <w:rsid w:val="00B4035C"/>
    <w:rsid w:val="00B41E12"/>
    <w:rsid w:val="00B42956"/>
    <w:rsid w:val="00B43669"/>
    <w:rsid w:val="00B438F0"/>
    <w:rsid w:val="00B44A21"/>
    <w:rsid w:val="00B50E48"/>
    <w:rsid w:val="00B528A4"/>
    <w:rsid w:val="00B534CD"/>
    <w:rsid w:val="00B544D0"/>
    <w:rsid w:val="00B5633F"/>
    <w:rsid w:val="00B65B76"/>
    <w:rsid w:val="00B6647F"/>
    <w:rsid w:val="00B66F57"/>
    <w:rsid w:val="00B6728A"/>
    <w:rsid w:val="00B678EE"/>
    <w:rsid w:val="00B67C28"/>
    <w:rsid w:val="00B705AB"/>
    <w:rsid w:val="00B73658"/>
    <w:rsid w:val="00B76547"/>
    <w:rsid w:val="00B76F82"/>
    <w:rsid w:val="00B775EA"/>
    <w:rsid w:val="00B8114F"/>
    <w:rsid w:val="00B81FFF"/>
    <w:rsid w:val="00B834D1"/>
    <w:rsid w:val="00B8445A"/>
    <w:rsid w:val="00B93971"/>
    <w:rsid w:val="00B97AB4"/>
    <w:rsid w:val="00BA071D"/>
    <w:rsid w:val="00BA08A3"/>
    <w:rsid w:val="00BA0E7A"/>
    <w:rsid w:val="00BA1310"/>
    <w:rsid w:val="00BA149E"/>
    <w:rsid w:val="00BA5709"/>
    <w:rsid w:val="00BA702C"/>
    <w:rsid w:val="00BB1A25"/>
    <w:rsid w:val="00BB2D6A"/>
    <w:rsid w:val="00BB3B32"/>
    <w:rsid w:val="00BB437C"/>
    <w:rsid w:val="00BB5C2C"/>
    <w:rsid w:val="00BC09E1"/>
    <w:rsid w:val="00BC1D0F"/>
    <w:rsid w:val="00BC25A4"/>
    <w:rsid w:val="00BC3ABF"/>
    <w:rsid w:val="00BC3C9B"/>
    <w:rsid w:val="00BC3EEF"/>
    <w:rsid w:val="00BC42F4"/>
    <w:rsid w:val="00BC563E"/>
    <w:rsid w:val="00BC6E1A"/>
    <w:rsid w:val="00BD5A3D"/>
    <w:rsid w:val="00BD5E75"/>
    <w:rsid w:val="00BE1A01"/>
    <w:rsid w:val="00BE30E6"/>
    <w:rsid w:val="00BF0892"/>
    <w:rsid w:val="00BF1355"/>
    <w:rsid w:val="00BF3478"/>
    <w:rsid w:val="00BF4F60"/>
    <w:rsid w:val="00BF4F6C"/>
    <w:rsid w:val="00BF5DFC"/>
    <w:rsid w:val="00C0596C"/>
    <w:rsid w:val="00C108BD"/>
    <w:rsid w:val="00C11DEE"/>
    <w:rsid w:val="00C12C39"/>
    <w:rsid w:val="00C1529C"/>
    <w:rsid w:val="00C169B0"/>
    <w:rsid w:val="00C208EB"/>
    <w:rsid w:val="00C22C73"/>
    <w:rsid w:val="00C27501"/>
    <w:rsid w:val="00C27CC1"/>
    <w:rsid w:val="00C30129"/>
    <w:rsid w:val="00C321DA"/>
    <w:rsid w:val="00C324E5"/>
    <w:rsid w:val="00C32CA7"/>
    <w:rsid w:val="00C4161B"/>
    <w:rsid w:val="00C43351"/>
    <w:rsid w:val="00C436B3"/>
    <w:rsid w:val="00C43F60"/>
    <w:rsid w:val="00C45954"/>
    <w:rsid w:val="00C51909"/>
    <w:rsid w:val="00C523BE"/>
    <w:rsid w:val="00C53BAB"/>
    <w:rsid w:val="00C60257"/>
    <w:rsid w:val="00C627D3"/>
    <w:rsid w:val="00C66775"/>
    <w:rsid w:val="00C677E3"/>
    <w:rsid w:val="00C67BE2"/>
    <w:rsid w:val="00C70D52"/>
    <w:rsid w:val="00C7119C"/>
    <w:rsid w:val="00C73906"/>
    <w:rsid w:val="00C74E1E"/>
    <w:rsid w:val="00C74EBB"/>
    <w:rsid w:val="00C810C8"/>
    <w:rsid w:val="00C842F9"/>
    <w:rsid w:val="00C91D49"/>
    <w:rsid w:val="00C91D5D"/>
    <w:rsid w:val="00C9209D"/>
    <w:rsid w:val="00C95C40"/>
    <w:rsid w:val="00CA1BA9"/>
    <w:rsid w:val="00CA515D"/>
    <w:rsid w:val="00CB1A31"/>
    <w:rsid w:val="00CB40AB"/>
    <w:rsid w:val="00CC153E"/>
    <w:rsid w:val="00CC2E94"/>
    <w:rsid w:val="00CC2F7E"/>
    <w:rsid w:val="00CC4DE6"/>
    <w:rsid w:val="00CC674F"/>
    <w:rsid w:val="00CC68FA"/>
    <w:rsid w:val="00CD2031"/>
    <w:rsid w:val="00CD37DF"/>
    <w:rsid w:val="00CD3EBC"/>
    <w:rsid w:val="00CE23F2"/>
    <w:rsid w:val="00CE24CE"/>
    <w:rsid w:val="00CE463F"/>
    <w:rsid w:val="00CE65DD"/>
    <w:rsid w:val="00CF2AB5"/>
    <w:rsid w:val="00CF3882"/>
    <w:rsid w:val="00CF655A"/>
    <w:rsid w:val="00D0060E"/>
    <w:rsid w:val="00D03702"/>
    <w:rsid w:val="00D03EDE"/>
    <w:rsid w:val="00D07EBF"/>
    <w:rsid w:val="00D07F6E"/>
    <w:rsid w:val="00D117D9"/>
    <w:rsid w:val="00D13BD7"/>
    <w:rsid w:val="00D13EAD"/>
    <w:rsid w:val="00D13F9B"/>
    <w:rsid w:val="00D154F5"/>
    <w:rsid w:val="00D15EB1"/>
    <w:rsid w:val="00D16D59"/>
    <w:rsid w:val="00D2021C"/>
    <w:rsid w:val="00D21747"/>
    <w:rsid w:val="00D218EC"/>
    <w:rsid w:val="00D22030"/>
    <w:rsid w:val="00D228D2"/>
    <w:rsid w:val="00D23365"/>
    <w:rsid w:val="00D23866"/>
    <w:rsid w:val="00D24435"/>
    <w:rsid w:val="00D46911"/>
    <w:rsid w:val="00D5046D"/>
    <w:rsid w:val="00D51E5C"/>
    <w:rsid w:val="00D61D18"/>
    <w:rsid w:val="00D62FE7"/>
    <w:rsid w:val="00D64932"/>
    <w:rsid w:val="00D67460"/>
    <w:rsid w:val="00D704AF"/>
    <w:rsid w:val="00D725EE"/>
    <w:rsid w:val="00D74EE0"/>
    <w:rsid w:val="00D77FF0"/>
    <w:rsid w:val="00D8017E"/>
    <w:rsid w:val="00D845BC"/>
    <w:rsid w:val="00D85879"/>
    <w:rsid w:val="00D85C19"/>
    <w:rsid w:val="00D9072C"/>
    <w:rsid w:val="00D92A59"/>
    <w:rsid w:val="00D94478"/>
    <w:rsid w:val="00D94FE3"/>
    <w:rsid w:val="00D95833"/>
    <w:rsid w:val="00D95F03"/>
    <w:rsid w:val="00DA0321"/>
    <w:rsid w:val="00DA0A18"/>
    <w:rsid w:val="00DA6097"/>
    <w:rsid w:val="00DA6DD7"/>
    <w:rsid w:val="00DB00ED"/>
    <w:rsid w:val="00DB0190"/>
    <w:rsid w:val="00DB036E"/>
    <w:rsid w:val="00DB2035"/>
    <w:rsid w:val="00DB46A8"/>
    <w:rsid w:val="00DB4CEA"/>
    <w:rsid w:val="00DB647C"/>
    <w:rsid w:val="00DB7CD2"/>
    <w:rsid w:val="00DC047B"/>
    <w:rsid w:val="00DC1332"/>
    <w:rsid w:val="00DC1831"/>
    <w:rsid w:val="00DC44D7"/>
    <w:rsid w:val="00DD1494"/>
    <w:rsid w:val="00DD4720"/>
    <w:rsid w:val="00DD71B8"/>
    <w:rsid w:val="00DE0D7E"/>
    <w:rsid w:val="00DE380A"/>
    <w:rsid w:val="00DE47F2"/>
    <w:rsid w:val="00DE4F1A"/>
    <w:rsid w:val="00DE5F90"/>
    <w:rsid w:val="00DE68CE"/>
    <w:rsid w:val="00DF3DFB"/>
    <w:rsid w:val="00DF777E"/>
    <w:rsid w:val="00E019CF"/>
    <w:rsid w:val="00E10045"/>
    <w:rsid w:val="00E10ABD"/>
    <w:rsid w:val="00E15292"/>
    <w:rsid w:val="00E15CC0"/>
    <w:rsid w:val="00E1652E"/>
    <w:rsid w:val="00E174C1"/>
    <w:rsid w:val="00E17895"/>
    <w:rsid w:val="00E20A03"/>
    <w:rsid w:val="00E2624C"/>
    <w:rsid w:val="00E3128A"/>
    <w:rsid w:val="00E37647"/>
    <w:rsid w:val="00E379C1"/>
    <w:rsid w:val="00E40683"/>
    <w:rsid w:val="00E41404"/>
    <w:rsid w:val="00E41827"/>
    <w:rsid w:val="00E41A4D"/>
    <w:rsid w:val="00E44946"/>
    <w:rsid w:val="00E46BF9"/>
    <w:rsid w:val="00E46D4C"/>
    <w:rsid w:val="00E562E7"/>
    <w:rsid w:val="00E5654F"/>
    <w:rsid w:val="00E616B1"/>
    <w:rsid w:val="00E632CC"/>
    <w:rsid w:val="00E66EBD"/>
    <w:rsid w:val="00E7275C"/>
    <w:rsid w:val="00E762C2"/>
    <w:rsid w:val="00E76BC0"/>
    <w:rsid w:val="00E806DD"/>
    <w:rsid w:val="00E86CD9"/>
    <w:rsid w:val="00E8786A"/>
    <w:rsid w:val="00E9111D"/>
    <w:rsid w:val="00E913E9"/>
    <w:rsid w:val="00E9215D"/>
    <w:rsid w:val="00E923C3"/>
    <w:rsid w:val="00E927FA"/>
    <w:rsid w:val="00E93826"/>
    <w:rsid w:val="00E9505D"/>
    <w:rsid w:val="00E96A6D"/>
    <w:rsid w:val="00E97DFF"/>
    <w:rsid w:val="00EA032D"/>
    <w:rsid w:val="00EA081F"/>
    <w:rsid w:val="00EA0954"/>
    <w:rsid w:val="00EA5CD2"/>
    <w:rsid w:val="00EA742A"/>
    <w:rsid w:val="00EB04A5"/>
    <w:rsid w:val="00EB1B99"/>
    <w:rsid w:val="00EB357A"/>
    <w:rsid w:val="00EB3633"/>
    <w:rsid w:val="00EB397D"/>
    <w:rsid w:val="00EB3AC5"/>
    <w:rsid w:val="00EB4BA6"/>
    <w:rsid w:val="00EB5D01"/>
    <w:rsid w:val="00EB64E8"/>
    <w:rsid w:val="00EC2505"/>
    <w:rsid w:val="00EC354E"/>
    <w:rsid w:val="00EC7943"/>
    <w:rsid w:val="00ED2C2B"/>
    <w:rsid w:val="00ED3E14"/>
    <w:rsid w:val="00ED5345"/>
    <w:rsid w:val="00EE20B4"/>
    <w:rsid w:val="00EE679E"/>
    <w:rsid w:val="00EE6D05"/>
    <w:rsid w:val="00EF06E1"/>
    <w:rsid w:val="00EF10AD"/>
    <w:rsid w:val="00EF14D5"/>
    <w:rsid w:val="00EF2005"/>
    <w:rsid w:val="00EF7FA9"/>
    <w:rsid w:val="00F005EA"/>
    <w:rsid w:val="00F021CF"/>
    <w:rsid w:val="00F04AC8"/>
    <w:rsid w:val="00F05993"/>
    <w:rsid w:val="00F05A57"/>
    <w:rsid w:val="00F151A3"/>
    <w:rsid w:val="00F16C39"/>
    <w:rsid w:val="00F179B6"/>
    <w:rsid w:val="00F208C8"/>
    <w:rsid w:val="00F251B7"/>
    <w:rsid w:val="00F262AF"/>
    <w:rsid w:val="00F27F77"/>
    <w:rsid w:val="00F30480"/>
    <w:rsid w:val="00F3102B"/>
    <w:rsid w:val="00F3205F"/>
    <w:rsid w:val="00F322D8"/>
    <w:rsid w:val="00F37B10"/>
    <w:rsid w:val="00F4309A"/>
    <w:rsid w:val="00F4378D"/>
    <w:rsid w:val="00F446EF"/>
    <w:rsid w:val="00F45747"/>
    <w:rsid w:val="00F46C63"/>
    <w:rsid w:val="00F50D6E"/>
    <w:rsid w:val="00F55598"/>
    <w:rsid w:val="00F558B7"/>
    <w:rsid w:val="00F604E7"/>
    <w:rsid w:val="00F6092F"/>
    <w:rsid w:val="00F6192A"/>
    <w:rsid w:val="00F62BD5"/>
    <w:rsid w:val="00F63288"/>
    <w:rsid w:val="00F63362"/>
    <w:rsid w:val="00F63F7D"/>
    <w:rsid w:val="00F652FA"/>
    <w:rsid w:val="00F671DB"/>
    <w:rsid w:val="00F67833"/>
    <w:rsid w:val="00F70356"/>
    <w:rsid w:val="00F71AB1"/>
    <w:rsid w:val="00F73006"/>
    <w:rsid w:val="00F734C1"/>
    <w:rsid w:val="00F74804"/>
    <w:rsid w:val="00F75BB7"/>
    <w:rsid w:val="00F77581"/>
    <w:rsid w:val="00F82CE1"/>
    <w:rsid w:val="00F83BF2"/>
    <w:rsid w:val="00F910D1"/>
    <w:rsid w:val="00F9179D"/>
    <w:rsid w:val="00F92108"/>
    <w:rsid w:val="00F975A1"/>
    <w:rsid w:val="00FA2259"/>
    <w:rsid w:val="00FA2DC5"/>
    <w:rsid w:val="00FA51FB"/>
    <w:rsid w:val="00FA688F"/>
    <w:rsid w:val="00FA7BDA"/>
    <w:rsid w:val="00FB0E04"/>
    <w:rsid w:val="00FB1EDF"/>
    <w:rsid w:val="00FB2FD2"/>
    <w:rsid w:val="00FB30F5"/>
    <w:rsid w:val="00FB63A4"/>
    <w:rsid w:val="00FB735C"/>
    <w:rsid w:val="00FB7DDF"/>
    <w:rsid w:val="00FC0129"/>
    <w:rsid w:val="00FC3AE6"/>
    <w:rsid w:val="00FC4027"/>
    <w:rsid w:val="00FD2360"/>
    <w:rsid w:val="00FD2C66"/>
    <w:rsid w:val="00FD2CA4"/>
    <w:rsid w:val="00FD58E4"/>
    <w:rsid w:val="00FD64A6"/>
    <w:rsid w:val="00FD6D2D"/>
    <w:rsid w:val="00FE08D5"/>
    <w:rsid w:val="00FE1E08"/>
    <w:rsid w:val="00FE5787"/>
    <w:rsid w:val="00FE7B73"/>
    <w:rsid w:val="00FF128B"/>
    <w:rsid w:val="00FF2F87"/>
    <w:rsid w:val="00FF44A7"/>
    <w:rsid w:val="00FF59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A7D8FE"/>
  <w14:defaultImageDpi w14:val="32767"/>
  <w15:chartTrackingRefBased/>
  <w15:docId w15:val="{473A5C20-C2A2-2C4E-AD94-722BA9040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6E5B"/>
    <w:pPr>
      <w:spacing w:before="120" w:after="120" w:line="480" w:lineRule="auto"/>
      <w:jc w:val="both"/>
    </w:pPr>
    <w:rPr>
      <w:rFonts w:ascii="Times New Roman" w:hAnsi="Times New Roman"/>
    </w:rPr>
  </w:style>
  <w:style w:type="paragraph" w:styleId="Heading1">
    <w:name w:val="heading 1"/>
    <w:basedOn w:val="Normal"/>
    <w:next w:val="Normal"/>
    <w:link w:val="Heading1Char"/>
    <w:autoRedefine/>
    <w:uiPriority w:val="9"/>
    <w:qFormat/>
    <w:rsid w:val="00814236"/>
    <w:pPr>
      <w:keepNext/>
      <w:keepLines/>
      <w:numPr>
        <w:numId w:val="8"/>
      </w:numPr>
      <w:spacing w:line="360" w:lineRule="auto"/>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814236"/>
    <w:pPr>
      <w:keepNext/>
      <w:keepLines/>
      <w:numPr>
        <w:ilvl w:val="1"/>
        <w:numId w:val="8"/>
      </w:numPr>
      <w:spacing w:line="360" w:lineRule="auto"/>
      <w:outlineLvl w:val="1"/>
    </w:pPr>
    <w:rPr>
      <w:rFonts w:eastAsiaTheme="majorEastAsia" w:cstheme="majorBidi"/>
      <w:b/>
      <w:sz w:val="32"/>
      <w:szCs w:val="26"/>
    </w:rPr>
  </w:style>
  <w:style w:type="paragraph" w:styleId="Heading3">
    <w:name w:val="heading 3"/>
    <w:basedOn w:val="Normal"/>
    <w:next w:val="Normal"/>
    <w:link w:val="Heading3Char"/>
    <w:uiPriority w:val="9"/>
    <w:unhideWhenUsed/>
    <w:qFormat/>
    <w:rsid w:val="00F910D1"/>
    <w:pPr>
      <w:keepNext/>
      <w:keepLines/>
      <w:spacing w:before="40" w:line="360" w:lineRule="auto"/>
      <w:outlineLvl w:val="2"/>
    </w:pPr>
    <w:rPr>
      <w:rFonts w:eastAsiaTheme="majorEastAsia" w:cstheme="majorBidi"/>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14236"/>
    <w:rPr>
      <w:rFonts w:ascii="Times New Roman" w:eastAsiaTheme="majorEastAsia" w:hAnsi="Times New Roman" w:cstheme="majorBidi"/>
      <w:b/>
      <w:sz w:val="32"/>
      <w:szCs w:val="26"/>
    </w:rPr>
  </w:style>
  <w:style w:type="paragraph" w:styleId="ListParagraph">
    <w:name w:val="List Paragraph"/>
    <w:basedOn w:val="Normal"/>
    <w:uiPriority w:val="34"/>
    <w:qFormat/>
    <w:rsid w:val="003C4109"/>
    <w:pPr>
      <w:ind w:left="720"/>
      <w:contextualSpacing/>
    </w:pPr>
  </w:style>
  <w:style w:type="character" w:styleId="Hyperlink">
    <w:name w:val="Hyperlink"/>
    <w:basedOn w:val="DefaultParagraphFont"/>
    <w:uiPriority w:val="99"/>
    <w:unhideWhenUsed/>
    <w:rsid w:val="00CC674F"/>
    <w:rPr>
      <w:color w:val="0563C1" w:themeColor="hyperlink"/>
      <w:u w:val="single"/>
    </w:rPr>
  </w:style>
  <w:style w:type="character" w:customStyle="1" w:styleId="UnresolvedMention1">
    <w:name w:val="Unresolved Mention1"/>
    <w:basedOn w:val="DefaultParagraphFont"/>
    <w:uiPriority w:val="99"/>
    <w:rsid w:val="00CC674F"/>
    <w:rPr>
      <w:color w:val="605E5C"/>
      <w:shd w:val="clear" w:color="auto" w:fill="E1DFDD"/>
    </w:rPr>
  </w:style>
  <w:style w:type="character" w:customStyle="1" w:styleId="Heading3Char">
    <w:name w:val="Heading 3 Char"/>
    <w:basedOn w:val="DefaultParagraphFont"/>
    <w:link w:val="Heading3"/>
    <w:uiPriority w:val="9"/>
    <w:rsid w:val="00F910D1"/>
    <w:rPr>
      <w:rFonts w:ascii="Times New Roman" w:eastAsiaTheme="majorEastAsia" w:hAnsi="Times New Roman" w:cstheme="majorBidi"/>
      <w:b/>
      <w:sz w:val="28"/>
    </w:rPr>
  </w:style>
  <w:style w:type="character" w:styleId="CommentReference">
    <w:name w:val="annotation reference"/>
    <w:basedOn w:val="DefaultParagraphFont"/>
    <w:uiPriority w:val="99"/>
    <w:semiHidden/>
    <w:unhideWhenUsed/>
    <w:rsid w:val="00E15292"/>
    <w:rPr>
      <w:sz w:val="16"/>
      <w:szCs w:val="16"/>
    </w:rPr>
  </w:style>
  <w:style w:type="paragraph" w:styleId="CommentText">
    <w:name w:val="annotation text"/>
    <w:basedOn w:val="Normal"/>
    <w:link w:val="CommentTextChar"/>
    <w:uiPriority w:val="99"/>
    <w:unhideWhenUsed/>
    <w:rsid w:val="00E15292"/>
    <w:rPr>
      <w:sz w:val="20"/>
      <w:szCs w:val="20"/>
    </w:rPr>
  </w:style>
  <w:style w:type="character" w:customStyle="1" w:styleId="CommentTextChar">
    <w:name w:val="Comment Text Char"/>
    <w:basedOn w:val="DefaultParagraphFont"/>
    <w:link w:val="CommentText"/>
    <w:uiPriority w:val="99"/>
    <w:rsid w:val="00E15292"/>
    <w:rPr>
      <w:sz w:val="20"/>
      <w:szCs w:val="20"/>
    </w:rPr>
  </w:style>
  <w:style w:type="paragraph" w:styleId="CommentSubject">
    <w:name w:val="annotation subject"/>
    <w:basedOn w:val="CommentText"/>
    <w:next w:val="CommentText"/>
    <w:link w:val="CommentSubjectChar"/>
    <w:uiPriority w:val="99"/>
    <w:semiHidden/>
    <w:unhideWhenUsed/>
    <w:rsid w:val="00E15292"/>
    <w:rPr>
      <w:b/>
      <w:bCs/>
    </w:rPr>
  </w:style>
  <w:style w:type="character" w:customStyle="1" w:styleId="CommentSubjectChar">
    <w:name w:val="Comment Subject Char"/>
    <w:basedOn w:val="CommentTextChar"/>
    <w:link w:val="CommentSubject"/>
    <w:uiPriority w:val="99"/>
    <w:semiHidden/>
    <w:rsid w:val="00E15292"/>
    <w:rPr>
      <w:b/>
      <w:bCs/>
      <w:sz w:val="20"/>
      <w:szCs w:val="20"/>
    </w:rPr>
  </w:style>
  <w:style w:type="paragraph" w:styleId="BalloonText">
    <w:name w:val="Balloon Text"/>
    <w:basedOn w:val="Normal"/>
    <w:link w:val="BalloonTextChar"/>
    <w:uiPriority w:val="99"/>
    <w:semiHidden/>
    <w:unhideWhenUsed/>
    <w:rsid w:val="00E1529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5292"/>
    <w:rPr>
      <w:rFonts w:ascii="Segoe UI" w:hAnsi="Segoe UI" w:cs="Segoe UI"/>
      <w:sz w:val="18"/>
      <w:szCs w:val="18"/>
    </w:rPr>
  </w:style>
  <w:style w:type="table" w:styleId="TableGrid">
    <w:name w:val="Table Grid"/>
    <w:basedOn w:val="TableNormal"/>
    <w:uiPriority w:val="39"/>
    <w:rsid w:val="00363C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05E7F"/>
    <w:rPr>
      <w:iCs/>
      <w:sz w:val="22"/>
      <w:szCs w:val="18"/>
    </w:rPr>
  </w:style>
  <w:style w:type="character" w:styleId="PlaceholderText">
    <w:name w:val="Placeholder Text"/>
    <w:basedOn w:val="DefaultParagraphFont"/>
    <w:uiPriority w:val="99"/>
    <w:semiHidden/>
    <w:rsid w:val="00494263"/>
    <w:rPr>
      <w:color w:val="808080"/>
    </w:rPr>
  </w:style>
  <w:style w:type="character" w:styleId="FollowedHyperlink">
    <w:name w:val="FollowedHyperlink"/>
    <w:basedOn w:val="DefaultParagraphFont"/>
    <w:uiPriority w:val="99"/>
    <w:semiHidden/>
    <w:unhideWhenUsed/>
    <w:rsid w:val="00794BAC"/>
    <w:rPr>
      <w:color w:val="954F72" w:themeColor="followedHyperlink"/>
      <w:u w:val="single"/>
    </w:rPr>
  </w:style>
  <w:style w:type="paragraph" w:styleId="Header">
    <w:name w:val="header"/>
    <w:basedOn w:val="Normal"/>
    <w:link w:val="HeaderChar"/>
    <w:uiPriority w:val="99"/>
    <w:unhideWhenUsed/>
    <w:rsid w:val="001E2F3A"/>
    <w:pPr>
      <w:tabs>
        <w:tab w:val="center" w:pos="4680"/>
        <w:tab w:val="right" w:pos="9360"/>
      </w:tabs>
    </w:pPr>
  </w:style>
  <w:style w:type="character" w:customStyle="1" w:styleId="HeaderChar">
    <w:name w:val="Header Char"/>
    <w:basedOn w:val="DefaultParagraphFont"/>
    <w:link w:val="Header"/>
    <w:uiPriority w:val="99"/>
    <w:rsid w:val="001E2F3A"/>
  </w:style>
  <w:style w:type="paragraph" w:styleId="Footer">
    <w:name w:val="footer"/>
    <w:basedOn w:val="Normal"/>
    <w:link w:val="FooterChar"/>
    <w:uiPriority w:val="99"/>
    <w:unhideWhenUsed/>
    <w:rsid w:val="001E2F3A"/>
    <w:pPr>
      <w:tabs>
        <w:tab w:val="center" w:pos="4680"/>
        <w:tab w:val="right" w:pos="9360"/>
      </w:tabs>
    </w:pPr>
  </w:style>
  <w:style w:type="character" w:customStyle="1" w:styleId="FooterChar">
    <w:name w:val="Footer Char"/>
    <w:basedOn w:val="DefaultParagraphFont"/>
    <w:link w:val="Footer"/>
    <w:uiPriority w:val="99"/>
    <w:rsid w:val="001E2F3A"/>
  </w:style>
  <w:style w:type="character" w:customStyle="1" w:styleId="Heading1Char">
    <w:name w:val="Heading 1 Char"/>
    <w:basedOn w:val="DefaultParagraphFont"/>
    <w:link w:val="Heading1"/>
    <w:uiPriority w:val="9"/>
    <w:rsid w:val="00814236"/>
    <w:rPr>
      <w:rFonts w:ascii="Times New Roman" w:eastAsiaTheme="majorEastAsia" w:hAnsi="Times New Roman" w:cstheme="majorBidi"/>
      <w:b/>
      <w:sz w:val="36"/>
      <w:szCs w:val="32"/>
    </w:rPr>
  </w:style>
  <w:style w:type="paragraph" w:styleId="TOCHeading">
    <w:name w:val="TOC Heading"/>
    <w:basedOn w:val="Heading1"/>
    <w:next w:val="Normal"/>
    <w:uiPriority w:val="39"/>
    <w:unhideWhenUsed/>
    <w:qFormat/>
    <w:rsid w:val="005A1B50"/>
    <w:pPr>
      <w:spacing w:before="240" w:after="0" w:line="259" w:lineRule="auto"/>
      <w:jc w:val="left"/>
      <w:outlineLvl w:val="9"/>
    </w:pPr>
    <w:rPr>
      <w:rFonts w:asciiTheme="majorHAnsi" w:hAnsiTheme="majorHAnsi"/>
      <w:b w:val="0"/>
      <w:color w:val="2F5496" w:themeColor="accent1" w:themeShade="BF"/>
      <w:lang w:val="en-US"/>
    </w:rPr>
  </w:style>
  <w:style w:type="paragraph" w:styleId="TOC1">
    <w:name w:val="toc 1"/>
    <w:basedOn w:val="Normal"/>
    <w:next w:val="Normal"/>
    <w:autoRedefine/>
    <w:uiPriority w:val="39"/>
    <w:unhideWhenUsed/>
    <w:rsid w:val="005A1B50"/>
    <w:pPr>
      <w:spacing w:after="100"/>
    </w:pPr>
  </w:style>
  <w:style w:type="paragraph" w:styleId="TOC2">
    <w:name w:val="toc 2"/>
    <w:basedOn w:val="Normal"/>
    <w:next w:val="Normal"/>
    <w:autoRedefine/>
    <w:uiPriority w:val="39"/>
    <w:unhideWhenUsed/>
    <w:rsid w:val="005A1B50"/>
    <w:pPr>
      <w:spacing w:after="100"/>
      <w:ind w:left="240"/>
    </w:pPr>
  </w:style>
  <w:style w:type="paragraph" w:styleId="TableofFigures">
    <w:name w:val="table of figures"/>
    <w:basedOn w:val="Normal"/>
    <w:next w:val="Normal"/>
    <w:uiPriority w:val="99"/>
    <w:unhideWhenUsed/>
    <w:rsid w:val="005132A5"/>
    <w:pPr>
      <w:spacing w:after="0"/>
    </w:pPr>
  </w:style>
  <w:style w:type="paragraph" w:styleId="NoSpacing">
    <w:name w:val="No Spacing"/>
    <w:uiPriority w:val="1"/>
    <w:qFormat/>
    <w:rsid w:val="00AA7258"/>
    <w:pPr>
      <w:jc w:val="center"/>
    </w:pPr>
    <w:rPr>
      <w:rFonts w:ascii="Times New Roman" w:hAnsi="Times New Roman"/>
    </w:rPr>
  </w:style>
  <w:style w:type="paragraph" w:styleId="NormalWeb">
    <w:name w:val="Normal (Web)"/>
    <w:basedOn w:val="Normal"/>
    <w:uiPriority w:val="99"/>
    <w:unhideWhenUsed/>
    <w:rsid w:val="00B361D4"/>
    <w:pPr>
      <w:spacing w:before="100" w:beforeAutospacing="1" w:after="100" w:afterAutospacing="1" w:line="240" w:lineRule="auto"/>
      <w:jc w:val="left"/>
    </w:pPr>
    <w:rPr>
      <w:rFonts w:eastAsia="Times New Roman" w:cs="Times New Roman"/>
      <w:lang w:val="en-US"/>
    </w:rPr>
  </w:style>
  <w:style w:type="paragraph" w:styleId="TOC3">
    <w:name w:val="toc 3"/>
    <w:basedOn w:val="Normal"/>
    <w:next w:val="Normal"/>
    <w:autoRedefine/>
    <w:uiPriority w:val="39"/>
    <w:unhideWhenUsed/>
    <w:rsid w:val="00B4035C"/>
    <w:pPr>
      <w:spacing w:after="100"/>
      <w:ind w:left="480"/>
    </w:pPr>
  </w:style>
  <w:style w:type="character" w:styleId="UnresolvedMention">
    <w:name w:val="Unresolved Mention"/>
    <w:basedOn w:val="DefaultParagraphFont"/>
    <w:uiPriority w:val="99"/>
    <w:semiHidden/>
    <w:unhideWhenUsed/>
    <w:rsid w:val="000B4C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8978279">
      <w:bodyDiv w:val="1"/>
      <w:marLeft w:val="0"/>
      <w:marRight w:val="0"/>
      <w:marTop w:val="0"/>
      <w:marBottom w:val="0"/>
      <w:divBdr>
        <w:top w:val="none" w:sz="0" w:space="0" w:color="auto"/>
        <w:left w:val="none" w:sz="0" w:space="0" w:color="auto"/>
        <w:bottom w:val="none" w:sz="0" w:space="0" w:color="auto"/>
        <w:right w:val="none" w:sz="0" w:space="0" w:color="auto"/>
      </w:divBdr>
    </w:div>
    <w:div w:id="1068499572">
      <w:bodyDiv w:val="1"/>
      <w:marLeft w:val="0"/>
      <w:marRight w:val="0"/>
      <w:marTop w:val="0"/>
      <w:marBottom w:val="0"/>
      <w:divBdr>
        <w:top w:val="none" w:sz="0" w:space="0" w:color="auto"/>
        <w:left w:val="none" w:sz="0" w:space="0" w:color="auto"/>
        <w:bottom w:val="none" w:sz="0" w:space="0" w:color="auto"/>
        <w:right w:val="none" w:sz="0" w:space="0" w:color="auto"/>
      </w:divBdr>
      <w:divsChild>
        <w:div w:id="503781991">
          <w:marLeft w:val="547"/>
          <w:marRight w:val="0"/>
          <w:marTop w:val="0"/>
          <w:marBottom w:val="0"/>
          <w:divBdr>
            <w:top w:val="none" w:sz="0" w:space="0" w:color="auto"/>
            <w:left w:val="none" w:sz="0" w:space="0" w:color="auto"/>
            <w:bottom w:val="none" w:sz="0" w:space="0" w:color="auto"/>
            <w:right w:val="none" w:sz="0" w:space="0" w:color="auto"/>
          </w:divBdr>
        </w:div>
        <w:div w:id="1001546761">
          <w:marLeft w:val="1627"/>
          <w:marRight w:val="0"/>
          <w:marTop w:val="0"/>
          <w:marBottom w:val="0"/>
          <w:divBdr>
            <w:top w:val="none" w:sz="0" w:space="0" w:color="auto"/>
            <w:left w:val="none" w:sz="0" w:space="0" w:color="auto"/>
            <w:bottom w:val="none" w:sz="0" w:space="0" w:color="auto"/>
            <w:right w:val="none" w:sz="0" w:space="0" w:color="auto"/>
          </w:divBdr>
        </w:div>
        <w:div w:id="1201359431">
          <w:marLeft w:val="2707"/>
          <w:marRight w:val="0"/>
          <w:marTop w:val="0"/>
          <w:marBottom w:val="0"/>
          <w:divBdr>
            <w:top w:val="none" w:sz="0" w:space="0" w:color="auto"/>
            <w:left w:val="none" w:sz="0" w:space="0" w:color="auto"/>
            <w:bottom w:val="none" w:sz="0" w:space="0" w:color="auto"/>
            <w:right w:val="none" w:sz="0" w:space="0" w:color="auto"/>
          </w:divBdr>
        </w:div>
        <w:div w:id="1493719811">
          <w:marLeft w:val="1627"/>
          <w:marRight w:val="0"/>
          <w:marTop w:val="0"/>
          <w:marBottom w:val="0"/>
          <w:divBdr>
            <w:top w:val="none" w:sz="0" w:space="0" w:color="auto"/>
            <w:left w:val="none" w:sz="0" w:space="0" w:color="auto"/>
            <w:bottom w:val="none" w:sz="0" w:space="0" w:color="auto"/>
            <w:right w:val="none" w:sz="0" w:space="0" w:color="auto"/>
          </w:divBdr>
        </w:div>
        <w:div w:id="670526812">
          <w:marLeft w:val="2707"/>
          <w:marRight w:val="0"/>
          <w:marTop w:val="0"/>
          <w:marBottom w:val="0"/>
          <w:divBdr>
            <w:top w:val="none" w:sz="0" w:space="0" w:color="auto"/>
            <w:left w:val="none" w:sz="0" w:space="0" w:color="auto"/>
            <w:bottom w:val="none" w:sz="0" w:space="0" w:color="auto"/>
            <w:right w:val="none" w:sz="0" w:space="0" w:color="auto"/>
          </w:divBdr>
        </w:div>
        <w:div w:id="272786436">
          <w:marLeft w:val="547"/>
          <w:marRight w:val="0"/>
          <w:marTop w:val="0"/>
          <w:marBottom w:val="0"/>
          <w:divBdr>
            <w:top w:val="none" w:sz="0" w:space="0" w:color="auto"/>
            <w:left w:val="none" w:sz="0" w:space="0" w:color="auto"/>
            <w:bottom w:val="none" w:sz="0" w:space="0" w:color="auto"/>
            <w:right w:val="none" w:sz="0" w:space="0" w:color="auto"/>
          </w:divBdr>
        </w:div>
        <w:div w:id="1371765472">
          <w:marLeft w:val="1627"/>
          <w:marRight w:val="0"/>
          <w:marTop w:val="0"/>
          <w:marBottom w:val="0"/>
          <w:divBdr>
            <w:top w:val="none" w:sz="0" w:space="0" w:color="auto"/>
            <w:left w:val="none" w:sz="0" w:space="0" w:color="auto"/>
            <w:bottom w:val="none" w:sz="0" w:space="0" w:color="auto"/>
            <w:right w:val="none" w:sz="0" w:space="0" w:color="auto"/>
          </w:divBdr>
        </w:div>
        <w:div w:id="676886584">
          <w:marLeft w:val="1627"/>
          <w:marRight w:val="0"/>
          <w:marTop w:val="0"/>
          <w:marBottom w:val="0"/>
          <w:divBdr>
            <w:top w:val="none" w:sz="0" w:space="0" w:color="auto"/>
            <w:left w:val="none" w:sz="0" w:space="0" w:color="auto"/>
            <w:bottom w:val="none" w:sz="0" w:space="0" w:color="auto"/>
            <w:right w:val="none" w:sz="0" w:space="0" w:color="auto"/>
          </w:divBdr>
        </w:div>
        <w:div w:id="1159350777">
          <w:marLeft w:val="547"/>
          <w:marRight w:val="0"/>
          <w:marTop w:val="0"/>
          <w:marBottom w:val="0"/>
          <w:divBdr>
            <w:top w:val="none" w:sz="0" w:space="0" w:color="auto"/>
            <w:left w:val="none" w:sz="0" w:space="0" w:color="auto"/>
            <w:bottom w:val="none" w:sz="0" w:space="0" w:color="auto"/>
            <w:right w:val="none" w:sz="0" w:space="0" w:color="auto"/>
          </w:divBdr>
        </w:div>
        <w:div w:id="1331635444">
          <w:marLeft w:val="1627"/>
          <w:marRight w:val="0"/>
          <w:marTop w:val="0"/>
          <w:marBottom w:val="0"/>
          <w:divBdr>
            <w:top w:val="none" w:sz="0" w:space="0" w:color="auto"/>
            <w:left w:val="none" w:sz="0" w:space="0" w:color="auto"/>
            <w:bottom w:val="none" w:sz="0" w:space="0" w:color="auto"/>
            <w:right w:val="none" w:sz="0" w:space="0" w:color="auto"/>
          </w:divBdr>
        </w:div>
        <w:div w:id="617956500">
          <w:marLeft w:val="547"/>
          <w:marRight w:val="0"/>
          <w:marTop w:val="0"/>
          <w:marBottom w:val="0"/>
          <w:divBdr>
            <w:top w:val="none" w:sz="0" w:space="0" w:color="auto"/>
            <w:left w:val="none" w:sz="0" w:space="0" w:color="auto"/>
            <w:bottom w:val="none" w:sz="0" w:space="0" w:color="auto"/>
            <w:right w:val="none" w:sz="0" w:space="0" w:color="auto"/>
          </w:divBdr>
        </w:div>
        <w:div w:id="1762026824">
          <w:marLeft w:val="1627"/>
          <w:marRight w:val="0"/>
          <w:marTop w:val="0"/>
          <w:marBottom w:val="0"/>
          <w:divBdr>
            <w:top w:val="none" w:sz="0" w:space="0" w:color="auto"/>
            <w:left w:val="none" w:sz="0" w:space="0" w:color="auto"/>
            <w:bottom w:val="none" w:sz="0" w:space="0" w:color="auto"/>
            <w:right w:val="none" w:sz="0" w:space="0" w:color="auto"/>
          </w:divBdr>
        </w:div>
        <w:div w:id="1002852716">
          <w:marLeft w:val="547"/>
          <w:marRight w:val="0"/>
          <w:marTop w:val="0"/>
          <w:marBottom w:val="0"/>
          <w:divBdr>
            <w:top w:val="none" w:sz="0" w:space="0" w:color="auto"/>
            <w:left w:val="none" w:sz="0" w:space="0" w:color="auto"/>
            <w:bottom w:val="none" w:sz="0" w:space="0" w:color="auto"/>
            <w:right w:val="none" w:sz="0" w:space="0" w:color="auto"/>
          </w:divBdr>
        </w:div>
        <w:div w:id="601765410">
          <w:marLeft w:val="1627"/>
          <w:marRight w:val="0"/>
          <w:marTop w:val="0"/>
          <w:marBottom w:val="0"/>
          <w:divBdr>
            <w:top w:val="none" w:sz="0" w:space="0" w:color="auto"/>
            <w:left w:val="none" w:sz="0" w:space="0" w:color="auto"/>
            <w:bottom w:val="none" w:sz="0" w:space="0" w:color="auto"/>
            <w:right w:val="none" w:sz="0" w:space="0" w:color="auto"/>
          </w:divBdr>
        </w:div>
      </w:divsChild>
    </w:div>
    <w:div w:id="1534001316">
      <w:bodyDiv w:val="1"/>
      <w:marLeft w:val="0"/>
      <w:marRight w:val="0"/>
      <w:marTop w:val="0"/>
      <w:marBottom w:val="0"/>
      <w:divBdr>
        <w:top w:val="none" w:sz="0" w:space="0" w:color="auto"/>
        <w:left w:val="none" w:sz="0" w:space="0" w:color="auto"/>
        <w:bottom w:val="none" w:sz="0" w:space="0" w:color="auto"/>
        <w:right w:val="none" w:sz="0" w:space="0" w:color="auto"/>
      </w:divBdr>
    </w:div>
    <w:div w:id="2037997014">
      <w:bodyDiv w:val="1"/>
      <w:marLeft w:val="0"/>
      <w:marRight w:val="0"/>
      <w:marTop w:val="0"/>
      <w:marBottom w:val="0"/>
      <w:divBdr>
        <w:top w:val="none" w:sz="0" w:space="0" w:color="auto"/>
        <w:left w:val="none" w:sz="0" w:space="0" w:color="auto"/>
        <w:bottom w:val="none" w:sz="0" w:space="0" w:color="auto"/>
        <w:right w:val="none" w:sz="0" w:space="0" w:color="auto"/>
      </w:divBdr>
    </w:div>
    <w:div w:id="2054693017">
      <w:bodyDiv w:val="1"/>
      <w:marLeft w:val="0"/>
      <w:marRight w:val="0"/>
      <w:marTop w:val="0"/>
      <w:marBottom w:val="0"/>
      <w:divBdr>
        <w:top w:val="none" w:sz="0" w:space="0" w:color="auto"/>
        <w:left w:val="none" w:sz="0" w:space="0" w:color="auto"/>
        <w:bottom w:val="none" w:sz="0" w:space="0" w:color="auto"/>
        <w:right w:val="none" w:sz="0" w:space="0" w:color="auto"/>
      </w:divBdr>
      <w:divsChild>
        <w:div w:id="2004240469">
          <w:marLeft w:val="0"/>
          <w:marRight w:val="0"/>
          <w:marTop w:val="0"/>
          <w:marBottom w:val="0"/>
          <w:divBdr>
            <w:top w:val="none" w:sz="0" w:space="0" w:color="auto"/>
            <w:left w:val="none" w:sz="0" w:space="0" w:color="auto"/>
            <w:bottom w:val="none" w:sz="0" w:space="0" w:color="auto"/>
            <w:right w:val="none" w:sz="0" w:space="0" w:color="auto"/>
          </w:divBdr>
        </w:div>
        <w:div w:id="1914855625">
          <w:marLeft w:val="0"/>
          <w:marRight w:val="0"/>
          <w:marTop w:val="0"/>
          <w:marBottom w:val="0"/>
          <w:divBdr>
            <w:top w:val="none" w:sz="0" w:space="0" w:color="auto"/>
            <w:left w:val="none" w:sz="0" w:space="0" w:color="auto"/>
            <w:bottom w:val="none" w:sz="0" w:space="0" w:color="auto"/>
            <w:right w:val="none" w:sz="0" w:space="0" w:color="auto"/>
          </w:divBdr>
        </w:div>
        <w:div w:id="467404769">
          <w:marLeft w:val="0"/>
          <w:marRight w:val="0"/>
          <w:marTop w:val="0"/>
          <w:marBottom w:val="0"/>
          <w:divBdr>
            <w:top w:val="none" w:sz="0" w:space="0" w:color="auto"/>
            <w:left w:val="none" w:sz="0" w:space="0" w:color="auto"/>
            <w:bottom w:val="none" w:sz="0" w:space="0" w:color="auto"/>
            <w:right w:val="none" w:sz="0" w:space="0" w:color="auto"/>
          </w:divBdr>
        </w:div>
        <w:div w:id="1188373229">
          <w:marLeft w:val="0"/>
          <w:marRight w:val="0"/>
          <w:marTop w:val="0"/>
          <w:marBottom w:val="0"/>
          <w:divBdr>
            <w:top w:val="none" w:sz="0" w:space="0" w:color="auto"/>
            <w:left w:val="none" w:sz="0" w:space="0" w:color="auto"/>
            <w:bottom w:val="none" w:sz="0" w:space="0" w:color="auto"/>
            <w:right w:val="none" w:sz="0" w:space="0" w:color="auto"/>
          </w:divBdr>
        </w:div>
        <w:div w:id="19973418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p@smartbuilding.io" TargetMode="Externa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teven.vanpassel@uantwerpen.be"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mailto:tine.compernolle@uantwerpen.be" TargetMode="External"/><Relationship Id="rId4" Type="http://schemas.openxmlformats.org/officeDocument/2006/relationships/settings" Target="settings.xml"/><Relationship Id="rId9" Type="http://schemas.openxmlformats.org/officeDocument/2006/relationships/hyperlink" Target="mailto:michael.peeters01@ap.be"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81C713-DBF4-424B-8B50-9087E20246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32</Pages>
  <Words>14519</Words>
  <Characters>82762</Characters>
  <Application>Microsoft Office Word</Application>
  <DocSecurity>0</DocSecurity>
  <Lines>689</Lines>
  <Paragraphs>194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Peeters</dc:creator>
  <cp:keywords/>
  <dc:description/>
  <cp:lastModifiedBy>Michael Peeters</cp:lastModifiedBy>
  <cp:revision>4</cp:revision>
  <cp:lastPrinted>2019-04-26T08:53:00Z</cp:lastPrinted>
  <dcterms:created xsi:type="dcterms:W3CDTF">2019-05-10T07:52:00Z</dcterms:created>
  <dcterms:modified xsi:type="dcterms:W3CDTF">2019-05-10T07:54:00Z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Unique User Id_1">
    <vt:lpwstr>b2fe7be2-9910-3b95-9ade-75bd74acf811</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(deprecated)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