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0C73A" w14:textId="6DB295F8" w:rsidR="004F7FDE" w:rsidRPr="00493021" w:rsidRDefault="007D277A" w:rsidP="0018217D">
      <w:pPr>
        <w:pStyle w:val="BodyText"/>
        <w:spacing w:after="120" w:line="240" w:lineRule="auto"/>
        <w:rPr>
          <w:sz w:val="28"/>
          <w:szCs w:val="28"/>
        </w:rPr>
      </w:pPr>
      <w:r w:rsidRPr="00493021">
        <w:rPr>
          <w:sz w:val="28"/>
          <w:szCs w:val="28"/>
        </w:rPr>
        <w:t xml:space="preserve">Quarterly </w:t>
      </w:r>
      <w:r w:rsidR="004F7FDE" w:rsidRPr="00493021">
        <w:rPr>
          <w:sz w:val="28"/>
          <w:szCs w:val="28"/>
        </w:rPr>
        <w:t xml:space="preserve">Budget and Expenditure Reporting under </w:t>
      </w:r>
      <w:r w:rsidR="002C24AC">
        <w:rPr>
          <w:sz w:val="28"/>
          <w:szCs w:val="28"/>
        </w:rPr>
        <w:t xml:space="preserve">CARES Act </w:t>
      </w:r>
      <w:r w:rsidR="004F7FDE" w:rsidRPr="00493021">
        <w:rPr>
          <w:sz w:val="28"/>
          <w:szCs w:val="28"/>
        </w:rPr>
        <w:t>Section</w:t>
      </w:r>
      <w:r w:rsidR="002C24AC">
        <w:rPr>
          <w:sz w:val="28"/>
          <w:szCs w:val="28"/>
        </w:rPr>
        <w:t>s</w:t>
      </w:r>
      <w:r w:rsidR="004F7FDE" w:rsidRPr="00493021">
        <w:rPr>
          <w:sz w:val="28"/>
          <w:szCs w:val="28"/>
        </w:rPr>
        <w:t xml:space="preserve"> 18004(a)(1) Institutional Portion, 18004(a)(2), and 18004(a)(3)</w:t>
      </w:r>
      <w:r w:rsidRPr="00493021">
        <w:rPr>
          <w:sz w:val="28"/>
          <w:szCs w:val="28"/>
        </w:rPr>
        <w:t>,</w:t>
      </w:r>
      <w:r w:rsidR="004F7FDE" w:rsidRPr="00493021">
        <w:rPr>
          <w:sz w:val="28"/>
          <w:szCs w:val="28"/>
        </w:rPr>
        <w:t xml:space="preserve"> </w:t>
      </w:r>
      <w:r w:rsidR="00EC02E3">
        <w:rPr>
          <w:sz w:val="28"/>
          <w:szCs w:val="28"/>
        </w:rPr>
        <w:t>if applicable</w:t>
      </w:r>
    </w:p>
    <w:p w14:paraId="49766F4E" w14:textId="794B0015" w:rsidR="007D277A" w:rsidRPr="00AA1F33" w:rsidRDefault="007D277A" w:rsidP="0018217D">
      <w:pPr>
        <w:spacing w:after="120" w:line="240" w:lineRule="auto"/>
      </w:pPr>
      <w:r w:rsidRPr="00AA1F33">
        <w:rPr>
          <w:rFonts w:cstheme="minorHAnsi"/>
          <w:b/>
          <w:bCs/>
        </w:rPr>
        <w:t>Institution Name</w:t>
      </w:r>
      <w:r w:rsidRPr="00AA1F33">
        <w:rPr>
          <w:rFonts w:cstheme="minorHAnsi"/>
        </w:rPr>
        <w:t>: ______</w:t>
      </w:r>
      <w:r w:rsidR="00EC446C">
        <w:rPr>
          <w:rFonts w:cstheme="minorHAnsi"/>
        </w:rPr>
        <w:t>Univ of ABCD</w:t>
      </w:r>
      <w:r w:rsidRPr="00AA1F33">
        <w:rPr>
          <w:rFonts w:cstheme="minorHAnsi"/>
        </w:rPr>
        <w:t>________________________________________</w:t>
      </w:r>
      <w:r w:rsidR="00AA1F33">
        <w:rPr>
          <w:rFonts w:cstheme="minorHAnsi"/>
        </w:rPr>
        <w:t>_____</w:t>
      </w:r>
      <w:r w:rsidRPr="00AA1F33">
        <w:rPr>
          <w:rFonts w:cstheme="minorHAnsi"/>
          <w:b/>
          <w:bCs/>
        </w:rPr>
        <w:t xml:space="preserve"> </w:t>
      </w:r>
      <w:r w:rsidRPr="00AA1F33">
        <w:rPr>
          <w:b/>
          <w:bCs/>
        </w:rPr>
        <w:t>Date</w:t>
      </w:r>
      <w:r w:rsidR="0050374F" w:rsidRPr="00AA1F33">
        <w:rPr>
          <w:b/>
          <w:bCs/>
        </w:rPr>
        <w:t xml:space="preserve"> of Report</w:t>
      </w:r>
      <w:r w:rsidRPr="00AA1F33">
        <w:t>: ___</w:t>
      </w:r>
      <w:r w:rsidR="00EC446C">
        <w:t>12/20/2020</w:t>
      </w:r>
      <w:r w:rsidRPr="00AA1F33">
        <w:t>___________</w:t>
      </w:r>
      <w:r w:rsidR="00C0663C" w:rsidRPr="00AA1F33">
        <w:t xml:space="preserve"> </w:t>
      </w:r>
      <w:r w:rsidR="00AD5FDA" w:rsidRPr="00AA1F33">
        <w:rPr>
          <w:b/>
          <w:bCs/>
        </w:rPr>
        <w:t xml:space="preserve">Covering </w:t>
      </w:r>
      <w:r w:rsidR="00C0663C" w:rsidRPr="00AA1F33">
        <w:rPr>
          <w:b/>
          <w:bCs/>
        </w:rPr>
        <w:t>Quarter</w:t>
      </w:r>
      <w:r w:rsidR="00AD5FDA" w:rsidRPr="00AA1F33">
        <w:rPr>
          <w:b/>
          <w:bCs/>
        </w:rPr>
        <w:t xml:space="preserve"> Ending</w:t>
      </w:r>
      <w:r w:rsidR="00C0663C" w:rsidRPr="00AA1F33">
        <w:rPr>
          <w:b/>
          <w:bCs/>
        </w:rPr>
        <w:t xml:space="preserve">: </w:t>
      </w:r>
      <w:r w:rsidR="00AA1F33" w:rsidRPr="00AA1F33">
        <w:t>______________</w:t>
      </w:r>
    </w:p>
    <w:p w14:paraId="2A9BFD94" w14:textId="31038AB7" w:rsidR="008F029B" w:rsidRPr="00EA3FAA" w:rsidRDefault="001B30AB" w:rsidP="009A7859">
      <w:pPr>
        <w:spacing w:after="240" w:line="240" w:lineRule="auto"/>
      </w:pPr>
      <w:r w:rsidRPr="00A20975">
        <w:rPr>
          <w:b/>
          <w:bCs/>
        </w:rPr>
        <w:t>Total Amount</w:t>
      </w:r>
      <w:r w:rsidR="005B323C">
        <w:rPr>
          <w:b/>
          <w:bCs/>
        </w:rPr>
        <w:t xml:space="preserve"> of Funds </w:t>
      </w:r>
      <w:r w:rsidRPr="00A20975">
        <w:rPr>
          <w:b/>
          <w:bCs/>
        </w:rPr>
        <w:t>Awarded:</w:t>
      </w:r>
      <w:r w:rsidRPr="009B2233">
        <w:t xml:space="preserve"> </w:t>
      </w:r>
      <w:r w:rsidR="009B2233">
        <w:t xml:space="preserve">Section </w:t>
      </w:r>
      <w:r w:rsidRPr="009B2233">
        <w:t xml:space="preserve">(a)(1) </w:t>
      </w:r>
      <w:r w:rsidR="00850F18">
        <w:t>I</w:t>
      </w:r>
      <w:r w:rsidRPr="009B2233">
        <w:t>nstitutional</w:t>
      </w:r>
      <w:r w:rsidR="009A7859">
        <w:t xml:space="preserve"> </w:t>
      </w:r>
      <w:r w:rsidR="00850F18">
        <w:t>P</w:t>
      </w:r>
      <w:r w:rsidR="009A7859">
        <w:t>ortion</w:t>
      </w:r>
      <w:r w:rsidRPr="009B2233">
        <w:t xml:space="preserve">: </w:t>
      </w:r>
      <w:r w:rsidR="00617CC1" w:rsidRPr="00AA1F33">
        <w:t>_</w:t>
      </w:r>
      <w:r w:rsidR="00EC446C">
        <w:t>$131,000.00</w:t>
      </w:r>
      <w:r w:rsidR="00617CC1" w:rsidRPr="00AA1F33">
        <w:t>__</w:t>
      </w:r>
      <w:r w:rsidR="0054164B">
        <w:t>_</w:t>
      </w:r>
      <w:r w:rsidR="009B2233">
        <w:t xml:space="preserve"> Section </w:t>
      </w:r>
      <w:r w:rsidR="00A20975" w:rsidRPr="009B2233">
        <w:t>(a)(2):</w:t>
      </w:r>
      <w:r w:rsidR="00451ED6" w:rsidRPr="009B2233">
        <w:t xml:space="preserve"> </w:t>
      </w:r>
      <w:r w:rsidR="005638CE" w:rsidRPr="00AA1F33">
        <w:t>___</w:t>
      </w:r>
      <w:r w:rsidR="00CC2A08">
        <w:t>$ 0.0</w:t>
      </w:r>
      <w:r w:rsidR="005638CE" w:rsidRPr="00AA1F33">
        <w:t>____</w:t>
      </w:r>
      <w:r w:rsidR="0054164B">
        <w:t>_</w:t>
      </w:r>
      <w:r w:rsidR="009B2233">
        <w:t xml:space="preserve"> Section </w:t>
      </w:r>
      <w:r w:rsidR="00451ED6" w:rsidRPr="009B2233">
        <w:t>(a)(3)</w:t>
      </w:r>
      <w:r w:rsidR="009B2233">
        <w:t xml:space="preserve">: </w:t>
      </w:r>
      <w:r w:rsidR="005638CE" w:rsidRPr="00AA1F33">
        <w:t>___</w:t>
      </w:r>
      <w:r w:rsidR="00CC2A08">
        <w:t>$0.0</w:t>
      </w:r>
      <w:r w:rsidR="005638CE" w:rsidRPr="00AA1F33">
        <w:t>_____</w:t>
      </w:r>
      <w:r w:rsidR="00E9575F">
        <w:t xml:space="preserve"> </w:t>
      </w:r>
      <w:r w:rsidR="00EA3FAA">
        <w:rPr>
          <w:b/>
          <w:bCs/>
        </w:rPr>
        <w:t>Final Report?</w:t>
      </w:r>
      <w:r w:rsidR="0054164B">
        <w:rPr>
          <w:b/>
          <w:bCs/>
        </w:rPr>
        <w:t xml:space="preserve"> </w:t>
      </w:r>
      <w:sdt>
        <w:sdtPr>
          <w:rPr>
            <w:b/>
            <w:bCs/>
          </w:rPr>
          <w:id w:val="-1372536070"/>
          <w14:checkbox>
            <w14:checked w14:val="1"/>
            <w14:checkedState w14:val="2612" w14:font="MS Gothic"/>
            <w14:uncheckedState w14:val="2610" w14:font="MS Gothic"/>
          </w14:checkbox>
        </w:sdtPr>
        <w:sdtEndPr/>
        <w:sdtContent>
          <w:r w:rsidR="009D7786">
            <w:rPr>
              <w:rFonts w:ascii="MS Gothic" w:eastAsia="MS Gothic" w:hAnsi="MS Gothic" w:hint="eastAsia"/>
              <w:b/>
              <w:bCs/>
            </w:rPr>
            <w:t>☒</w:t>
          </w:r>
        </w:sdtContent>
      </w:sdt>
    </w:p>
    <w:tbl>
      <w:tblPr>
        <w:tblStyle w:val="TableGrid"/>
        <w:tblW w:w="14400" w:type="dxa"/>
        <w:tblLayout w:type="fixed"/>
        <w:tblLook w:val="04A0" w:firstRow="1" w:lastRow="0" w:firstColumn="1" w:lastColumn="0" w:noHBand="0" w:noVBand="1"/>
      </w:tblPr>
      <w:tblGrid>
        <w:gridCol w:w="6117"/>
        <w:gridCol w:w="1887"/>
        <w:gridCol w:w="1440"/>
        <w:gridCol w:w="1440"/>
        <w:gridCol w:w="3516"/>
      </w:tblGrid>
      <w:tr w:rsidR="003860CC" w:rsidRPr="00B0429C" w14:paraId="73DA18EC" w14:textId="77777777" w:rsidTr="004D4A3F">
        <w:trPr>
          <w:trHeight w:val="350"/>
          <w:tblHeader/>
        </w:trPr>
        <w:tc>
          <w:tcPr>
            <w:tcW w:w="6117" w:type="dxa"/>
          </w:tcPr>
          <w:p w14:paraId="41911BAC" w14:textId="0B9861AC" w:rsidR="007D277A" w:rsidRPr="00422EC1" w:rsidRDefault="007D277A" w:rsidP="00A51E00">
            <w:pPr>
              <w:jc w:val="center"/>
              <w:rPr>
                <w:rFonts w:cstheme="minorHAnsi"/>
                <w:b/>
                <w:bCs/>
              </w:rPr>
            </w:pPr>
            <w:r w:rsidRPr="00422EC1">
              <w:rPr>
                <w:rFonts w:cstheme="minorHAnsi"/>
                <w:b/>
                <w:bCs/>
              </w:rPr>
              <w:t>Category</w:t>
            </w:r>
          </w:p>
        </w:tc>
        <w:tc>
          <w:tcPr>
            <w:tcW w:w="1887" w:type="dxa"/>
            <w:tcMar>
              <w:left w:w="14" w:type="dxa"/>
              <w:right w:w="14" w:type="dxa"/>
            </w:tcMar>
          </w:tcPr>
          <w:p w14:paraId="76DF7E62" w14:textId="77777777" w:rsidR="007D277A" w:rsidRPr="00422EC1" w:rsidRDefault="007D277A" w:rsidP="00A51E00">
            <w:pPr>
              <w:jc w:val="center"/>
              <w:rPr>
                <w:rFonts w:cstheme="minorHAnsi"/>
                <w:b/>
                <w:bCs/>
              </w:rPr>
            </w:pPr>
            <w:r w:rsidRPr="00422EC1">
              <w:rPr>
                <w:rFonts w:cstheme="minorHAnsi"/>
                <w:b/>
                <w:bCs/>
              </w:rPr>
              <w:t xml:space="preserve">Amount </w:t>
            </w:r>
          </w:p>
          <w:p w14:paraId="77005AD4" w14:textId="01A2B4DB" w:rsidR="007D277A" w:rsidRPr="00422EC1" w:rsidRDefault="007D277A" w:rsidP="00A51E00">
            <w:pPr>
              <w:jc w:val="center"/>
              <w:rPr>
                <w:rFonts w:cstheme="minorHAnsi"/>
                <w:b/>
                <w:bCs/>
              </w:rPr>
            </w:pPr>
            <w:r w:rsidRPr="00422EC1">
              <w:rPr>
                <w:rFonts w:cstheme="minorHAnsi"/>
                <w:b/>
                <w:bCs/>
              </w:rPr>
              <w:t>in (a)(1)</w:t>
            </w:r>
            <w:r w:rsidR="00D408F9" w:rsidRPr="00422EC1">
              <w:rPr>
                <w:rFonts w:cstheme="minorHAnsi"/>
                <w:b/>
                <w:bCs/>
              </w:rPr>
              <w:t xml:space="preserve"> institutional</w:t>
            </w:r>
            <w:r w:rsidRPr="00422EC1">
              <w:rPr>
                <w:rFonts w:cstheme="minorHAnsi"/>
                <w:b/>
                <w:bCs/>
              </w:rPr>
              <w:t xml:space="preserve"> dollars</w:t>
            </w:r>
          </w:p>
        </w:tc>
        <w:tc>
          <w:tcPr>
            <w:tcW w:w="1440" w:type="dxa"/>
          </w:tcPr>
          <w:p w14:paraId="15BF7699" w14:textId="0EFB6ED6" w:rsidR="007D277A" w:rsidRPr="00422EC1" w:rsidRDefault="007D277A" w:rsidP="00A51E00">
            <w:pPr>
              <w:jc w:val="center"/>
              <w:rPr>
                <w:rFonts w:cstheme="minorHAnsi"/>
                <w:b/>
                <w:bCs/>
              </w:rPr>
            </w:pPr>
            <w:r w:rsidRPr="00422EC1">
              <w:rPr>
                <w:rFonts w:cstheme="minorHAnsi"/>
                <w:b/>
                <w:bCs/>
              </w:rPr>
              <w:t xml:space="preserve">Amount in (a)(2) dollars, </w:t>
            </w:r>
            <w:r w:rsidR="00EC02E3">
              <w:rPr>
                <w:rFonts w:cstheme="minorHAnsi"/>
                <w:b/>
                <w:bCs/>
              </w:rPr>
              <w:t>if applicable</w:t>
            </w:r>
          </w:p>
        </w:tc>
        <w:tc>
          <w:tcPr>
            <w:tcW w:w="1440" w:type="dxa"/>
          </w:tcPr>
          <w:p w14:paraId="104E3DE6" w14:textId="5ED7C615" w:rsidR="007D277A" w:rsidRPr="00422EC1" w:rsidRDefault="007D277A" w:rsidP="00A51E00">
            <w:pPr>
              <w:jc w:val="center"/>
              <w:rPr>
                <w:rFonts w:cstheme="minorHAnsi"/>
                <w:b/>
                <w:bCs/>
              </w:rPr>
            </w:pPr>
            <w:r w:rsidRPr="00422EC1">
              <w:rPr>
                <w:rFonts w:cstheme="minorHAnsi"/>
                <w:b/>
                <w:bCs/>
              </w:rPr>
              <w:t>Amount in (a)(</w:t>
            </w:r>
            <w:r w:rsidR="006C1225" w:rsidRPr="00422EC1">
              <w:rPr>
                <w:rFonts w:cstheme="minorHAnsi"/>
                <w:b/>
                <w:bCs/>
              </w:rPr>
              <w:t>3</w:t>
            </w:r>
            <w:r w:rsidRPr="00422EC1">
              <w:rPr>
                <w:rFonts w:cstheme="minorHAnsi"/>
                <w:b/>
                <w:bCs/>
              </w:rPr>
              <w:t xml:space="preserve">) dollars, </w:t>
            </w:r>
            <w:r w:rsidR="00EC02E3">
              <w:rPr>
                <w:rFonts w:cstheme="minorHAnsi"/>
                <w:b/>
                <w:bCs/>
              </w:rPr>
              <w:t>if applicable</w:t>
            </w:r>
          </w:p>
        </w:tc>
        <w:tc>
          <w:tcPr>
            <w:tcW w:w="3516" w:type="dxa"/>
          </w:tcPr>
          <w:p w14:paraId="63A96023" w14:textId="1176A96C" w:rsidR="007D277A" w:rsidRPr="00422EC1" w:rsidRDefault="007D277A" w:rsidP="00A51E00">
            <w:pPr>
              <w:jc w:val="center"/>
              <w:rPr>
                <w:rFonts w:cstheme="minorHAnsi"/>
                <w:b/>
                <w:bCs/>
              </w:rPr>
            </w:pPr>
            <w:r w:rsidRPr="00422EC1">
              <w:rPr>
                <w:rFonts w:cstheme="minorHAnsi"/>
                <w:b/>
                <w:bCs/>
              </w:rPr>
              <w:t>Explanatory Notes</w:t>
            </w:r>
          </w:p>
        </w:tc>
      </w:tr>
      <w:tr w:rsidR="003860CC" w:rsidRPr="00A236DF" w14:paraId="1D019FD1" w14:textId="77777777" w:rsidTr="00F95BAB">
        <w:trPr>
          <w:trHeight w:val="403"/>
        </w:trPr>
        <w:tc>
          <w:tcPr>
            <w:tcW w:w="6117" w:type="dxa"/>
          </w:tcPr>
          <w:p w14:paraId="10FAF964" w14:textId="7208FEFC" w:rsidR="007D277A" w:rsidRPr="0017254D" w:rsidRDefault="007D277A" w:rsidP="00A51E00">
            <w:pPr>
              <w:rPr>
                <w:rFonts w:cstheme="minorHAnsi"/>
                <w:sz w:val="21"/>
                <w:szCs w:val="21"/>
              </w:rPr>
            </w:pPr>
            <w:r w:rsidRPr="0017254D">
              <w:rPr>
                <w:rFonts w:cstheme="minorHAnsi"/>
                <w:sz w:val="21"/>
                <w:szCs w:val="21"/>
              </w:rPr>
              <w:t xml:space="preserve">Providing </w:t>
            </w:r>
            <w:r w:rsidR="0060182F">
              <w:rPr>
                <w:rFonts w:cstheme="minorHAnsi"/>
                <w:sz w:val="21"/>
                <w:szCs w:val="21"/>
              </w:rPr>
              <w:t>additional</w:t>
            </w:r>
            <w:r w:rsidRPr="0017254D">
              <w:rPr>
                <w:rFonts w:cstheme="minorHAnsi"/>
                <w:sz w:val="21"/>
                <w:szCs w:val="21"/>
              </w:rPr>
              <w:t xml:space="preserve"> </w:t>
            </w:r>
            <w:r w:rsidR="00E117B0">
              <w:rPr>
                <w:rFonts w:cstheme="minorHAnsi"/>
                <w:sz w:val="21"/>
                <w:szCs w:val="21"/>
              </w:rPr>
              <w:t>emergency financial aid</w:t>
            </w:r>
            <w:r w:rsidRPr="0017254D">
              <w:rPr>
                <w:rFonts w:cstheme="minorHAnsi"/>
                <w:sz w:val="21"/>
                <w:szCs w:val="21"/>
              </w:rPr>
              <w:t xml:space="preserve"> grants to students</w:t>
            </w:r>
            <w:r w:rsidR="000A382C">
              <w:rPr>
                <w:rFonts w:cstheme="minorHAnsi"/>
                <w:sz w:val="21"/>
                <w:szCs w:val="21"/>
              </w:rPr>
              <w:t>.</w:t>
            </w:r>
            <w:r w:rsidR="00DD060D" w:rsidRPr="0017254D">
              <w:rPr>
                <w:rStyle w:val="FootnoteReference"/>
                <w:sz w:val="21"/>
                <w:szCs w:val="21"/>
              </w:rPr>
              <w:footnoteReference w:id="2"/>
            </w:r>
            <w:r w:rsidR="00844E33">
              <w:rPr>
                <w:rFonts w:cstheme="minorHAnsi"/>
                <w:sz w:val="21"/>
                <w:szCs w:val="21"/>
              </w:rPr>
              <w:t xml:space="preserve"> </w:t>
            </w:r>
          </w:p>
        </w:tc>
        <w:tc>
          <w:tcPr>
            <w:tcW w:w="1887" w:type="dxa"/>
          </w:tcPr>
          <w:p w14:paraId="073E3B49" w14:textId="1E7E4A5A" w:rsidR="007D277A" w:rsidRPr="00CC2A08" w:rsidRDefault="00CC2A08" w:rsidP="00CC2A08">
            <w:pPr>
              <w:rPr>
                <w:rFonts w:cstheme="minorHAnsi"/>
                <w:sz w:val="21"/>
                <w:szCs w:val="21"/>
              </w:rPr>
            </w:pPr>
            <w:r>
              <w:rPr>
                <w:rFonts w:cstheme="minorHAnsi"/>
                <w:sz w:val="21"/>
                <w:szCs w:val="21"/>
              </w:rPr>
              <w:t>$ 125,000.00</w:t>
            </w:r>
          </w:p>
        </w:tc>
        <w:tc>
          <w:tcPr>
            <w:tcW w:w="1440" w:type="dxa"/>
          </w:tcPr>
          <w:p w14:paraId="37EAF909" w14:textId="56AD98AB" w:rsidR="007D277A" w:rsidRPr="00CC2A08" w:rsidRDefault="00CC2A08" w:rsidP="00A51E00">
            <w:pPr>
              <w:rPr>
                <w:sz w:val="21"/>
                <w:szCs w:val="21"/>
              </w:rPr>
            </w:pPr>
            <w:r>
              <w:rPr>
                <w:sz w:val="21"/>
                <w:szCs w:val="21"/>
              </w:rPr>
              <w:t>$0.0</w:t>
            </w:r>
          </w:p>
        </w:tc>
        <w:tc>
          <w:tcPr>
            <w:tcW w:w="1440" w:type="dxa"/>
          </w:tcPr>
          <w:p w14:paraId="0EFE0919" w14:textId="0A47DC81" w:rsidR="007D277A" w:rsidRPr="00CC2A08" w:rsidRDefault="00CC2A08" w:rsidP="00A51E00">
            <w:pPr>
              <w:rPr>
                <w:sz w:val="21"/>
                <w:szCs w:val="21"/>
              </w:rPr>
            </w:pPr>
            <w:r>
              <w:rPr>
                <w:sz w:val="21"/>
                <w:szCs w:val="21"/>
              </w:rPr>
              <w:t>$0.0</w:t>
            </w:r>
          </w:p>
        </w:tc>
        <w:tc>
          <w:tcPr>
            <w:tcW w:w="3516" w:type="dxa"/>
          </w:tcPr>
          <w:p w14:paraId="79751DB5" w14:textId="73BE1DAF" w:rsidR="007D277A" w:rsidRPr="00CC2A08" w:rsidRDefault="007D277A" w:rsidP="00A51E00">
            <w:pPr>
              <w:rPr>
                <w:sz w:val="21"/>
                <w:szCs w:val="21"/>
              </w:rPr>
            </w:pPr>
          </w:p>
        </w:tc>
      </w:tr>
      <w:tr w:rsidR="00CC2A08" w:rsidRPr="00A236DF" w14:paraId="5D151D58" w14:textId="77777777" w:rsidTr="004D4A3F">
        <w:trPr>
          <w:trHeight w:val="350"/>
        </w:trPr>
        <w:tc>
          <w:tcPr>
            <w:tcW w:w="6117" w:type="dxa"/>
          </w:tcPr>
          <w:p w14:paraId="04F96C35" w14:textId="65C11FD0" w:rsidR="00CC2A08" w:rsidRPr="0017254D" w:rsidRDefault="00CC2A08" w:rsidP="00CC2A08">
            <w:pPr>
              <w:rPr>
                <w:rFonts w:cstheme="minorHAnsi"/>
                <w:sz w:val="21"/>
                <w:szCs w:val="21"/>
              </w:rPr>
            </w:pPr>
            <w:r>
              <w:rPr>
                <w:rFonts w:cstheme="minorHAnsi"/>
                <w:sz w:val="21"/>
                <w:szCs w:val="21"/>
              </w:rPr>
              <w:t>Providing reimbursements for tuition, housing, room and board, or other fee refunds.</w:t>
            </w:r>
          </w:p>
        </w:tc>
        <w:tc>
          <w:tcPr>
            <w:tcW w:w="1887" w:type="dxa"/>
          </w:tcPr>
          <w:p w14:paraId="6FB8E021" w14:textId="2072C631" w:rsidR="00CC2A08" w:rsidRPr="00CC2A08" w:rsidRDefault="00CC2A08" w:rsidP="00CC2A08">
            <w:pPr>
              <w:rPr>
                <w:rFonts w:cstheme="minorHAnsi"/>
                <w:sz w:val="21"/>
                <w:szCs w:val="21"/>
              </w:rPr>
            </w:pPr>
            <w:r>
              <w:rPr>
                <w:sz w:val="21"/>
                <w:szCs w:val="21"/>
              </w:rPr>
              <w:t>$0.0</w:t>
            </w:r>
          </w:p>
        </w:tc>
        <w:tc>
          <w:tcPr>
            <w:tcW w:w="1440" w:type="dxa"/>
          </w:tcPr>
          <w:p w14:paraId="227B38A4" w14:textId="7C768EAD" w:rsidR="00CC2A08" w:rsidRPr="00CC2A08" w:rsidRDefault="00CC2A08" w:rsidP="00CC2A08">
            <w:pPr>
              <w:rPr>
                <w:sz w:val="21"/>
                <w:szCs w:val="21"/>
              </w:rPr>
            </w:pPr>
            <w:r>
              <w:rPr>
                <w:sz w:val="21"/>
                <w:szCs w:val="21"/>
              </w:rPr>
              <w:t>$0.0</w:t>
            </w:r>
          </w:p>
        </w:tc>
        <w:tc>
          <w:tcPr>
            <w:tcW w:w="1440" w:type="dxa"/>
          </w:tcPr>
          <w:p w14:paraId="6C38BFB8" w14:textId="3FEF219E" w:rsidR="00CC2A08" w:rsidRPr="00CC2A08" w:rsidRDefault="00CC2A08" w:rsidP="00CC2A08">
            <w:pPr>
              <w:rPr>
                <w:sz w:val="21"/>
                <w:szCs w:val="21"/>
              </w:rPr>
            </w:pPr>
            <w:r w:rsidRPr="001B58A8">
              <w:rPr>
                <w:sz w:val="21"/>
                <w:szCs w:val="21"/>
              </w:rPr>
              <w:t>$0.0</w:t>
            </w:r>
          </w:p>
        </w:tc>
        <w:tc>
          <w:tcPr>
            <w:tcW w:w="3516" w:type="dxa"/>
          </w:tcPr>
          <w:p w14:paraId="581FF55F" w14:textId="77777777" w:rsidR="00CC2A08" w:rsidRPr="00CC2A08" w:rsidRDefault="00CC2A08" w:rsidP="00CC2A08">
            <w:pPr>
              <w:rPr>
                <w:sz w:val="21"/>
                <w:szCs w:val="21"/>
              </w:rPr>
            </w:pPr>
          </w:p>
        </w:tc>
      </w:tr>
      <w:tr w:rsidR="00CC2A08" w:rsidRPr="00B0429C" w14:paraId="656F7EE7" w14:textId="77777777" w:rsidTr="00F95BAB">
        <w:trPr>
          <w:trHeight w:val="403"/>
        </w:trPr>
        <w:tc>
          <w:tcPr>
            <w:tcW w:w="6117" w:type="dxa"/>
          </w:tcPr>
          <w:p w14:paraId="625CE087" w14:textId="0769F6CD" w:rsidR="00CC2A08" w:rsidRPr="0017254D" w:rsidRDefault="00CC2A08" w:rsidP="00CC2A08">
            <w:pPr>
              <w:rPr>
                <w:rFonts w:cstheme="minorHAnsi"/>
                <w:sz w:val="21"/>
                <w:szCs w:val="21"/>
              </w:rPr>
            </w:pPr>
            <w:r w:rsidRPr="0017254D">
              <w:rPr>
                <w:rFonts w:cstheme="minorHAnsi"/>
                <w:sz w:val="21"/>
                <w:szCs w:val="21"/>
              </w:rPr>
              <w:t>Providing tuition discount</w:t>
            </w:r>
            <w:r>
              <w:rPr>
                <w:rFonts w:cstheme="minorHAnsi"/>
                <w:sz w:val="21"/>
                <w:szCs w:val="21"/>
              </w:rPr>
              <w:t>s.</w:t>
            </w:r>
            <w:r w:rsidRPr="0017254D">
              <w:rPr>
                <w:rFonts w:cstheme="minorHAnsi"/>
                <w:sz w:val="21"/>
                <w:szCs w:val="21"/>
              </w:rPr>
              <w:t xml:space="preserve"> </w:t>
            </w:r>
          </w:p>
        </w:tc>
        <w:tc>
          <w:tcPr>
            <w:tcW w:w="1887" w:type="dxa"/>
            <w:shd w:val="clear" w:color="auto" w:fill="808080" w:themeFill="background1" w:themeFillShade="80"/>
          </w:tcPr>
          <w:p w14:paraId="201E7F73" w14:textId="77777777" w:rsidR="00CC2A08" w:rsidRPr="00CC2A08" w:rsidRDefault="00CC2A08" w:rsidP="00CC2A08">
            <w:pPr>
              <w:rPr>
                <w:rFonts w:cstheme="minorHAnsi"/>
                <w:sz w:val="21"/>
                <w:szCs w:val="21"/>
              </w:rPr>
            </w:pPr>
          </w:p>
        </w:tc>
        <w:tc>
          <w:tcPr>
            <w:tcW w:w="1440" w:type="dxa"/>
          </w:tcPr>
          <w:p w14:paraId="33858730" w14:textId="6B4C6BF8" w:rsidR="00CC2A08" w:rsidRPr="00CC2A08" w:rsidRDefault="00CC2A08" w:rsidP="00CC2A08">
            <w:pPr>
              <w:rPr>
                <w:rFonts w:cstheme="minorHAnsi"/>
                <w:sz w:val="21"/>
                <w:szCs w:val="21"/>
              </w:rPr>
            </w:pPr>
            <w:r>
              <w:rPr>
                <w:sz w:val="21"/>
                <w:szCs w:val="21"/>
              </w:rPr>
              <w:t>$0.0</w:t>
            </w:r>
          </w:p>
        </w:tc>
        <w:tc>
          <w:tcPr>
            <w:tcW w:w="1440" w:type="dxa"/>
          </w:tcPr>
          <w:p w14:paraId="6C88DEF1" w14:textId="53E972B4" w:rsidR="00CC2A08" w:rsidRPr="00CC2A08" w:rsidRDefault="00CC2A08" w:rsidP="00CC2A08">
            <w:pPr>
              <w:rPr>
                <w:rFonts w:cstheme="minorHAnsi"/>
                <w:sz w:val="21"/>
                <w:szCs w:val="21"/>
              </w:rPr>
            </w:pPr>
            <w:r w:rsidRPr="001B58A8">
              <w:rPr>
                <w:sz w:val="21"/>
                <w:szCs w:val="21"/>
              </w:rPr>
              <w:t>$0.0</w:t>
            </w:r>
          </w:p>
        </w:tc>
        <w:tc>
          <w:tcPr>
            <w:tcW w:w="3516" w:type="dxa"/>
          </w:tcPr>
          <w:p w14:paraId="4D0C218A" w14:textId="42AFC798" w:rsidR="00CC2A08" w:rsidRPr="00CC2A08" w:rsidRDefault="00CC2A08" w:rsidP="00CC2A08">
            <w:pPr>
              <w:rPr>
                <w:rFonts w:cstheme="minorHAnsi"/>
                <w:sz w:val="21"/>
                <w:szCs w:val="21"/>
              </w:rPr>
            </w:pPr>
          </w:p>
        </w:tc>
      </w:tr>
      <w:tr w:rsidR="00CC2A08" w:rsidRPr="00B0429C" w14:paraId="299BF3B6" w14:textId="77777777" w:rsidTr="004D4A3F">
        <w:trPr>
          <w:trHeight w:val="350"/>
        </w:trPr>
        <w:tc>
          <w:tcPr>
            <w:tcW w:w="6117" w:type="dxa"/>
          </w:tcPr>
          <w:p w14:paraId="0164409C" w14:textId="49A2218B" w:rsidR="00CC2A08" w:rsidRPr="0017254D" w:rsidRDefault="00CC2A08" w:rsidP="00CC2A08">
            <w:pPr>
              <w:rPr>
                <w:rFonts w:cstheme="minorHAnsi"/>
                <w:sz w:val="21"/>
                <w:szCs w:val="21"/>
              </w:rPr>
            </w:pPr>
            <w:r w:rsidRPr="0017254D">
              <w:rPr>
                <w:rFonts w:cstheme="minorHAnsi"/>
                <w:sz w:val="21"/>
                <w:szCs w:val="21"/>
              </w:rPr>
              <w:t>Covering the cost of providing additional technolog</w:t>
            </w:r>
            <w:r>
              <w:rPr>
                <w:rFonts w:cstheme="minorHAnsi"/>
                <w:sz w:val="21"/>
                <w:szCs w:val="21"/>
              </w:rPr>
              <w:t>y hardware</w:t>
            </w:r>
            <w:r w:rsidRPr="0017254D">
              <w:rPr>
                <w:rFonts w:cstheme="minorHAnsi"/>
                <w:sz w:val="21"/>
                <w:szCs w:val="21"/>
              </w:rPr>
              <w:t xml:space="preserve"> to students, such as laptops or tablets</w:t>
            </w:r>
            <w:r>
              <w:rPr>
                <w:rFonts w:cstheme="minorHAnsi"/>
                <w:sz w:val="21"/>
                <w:szCs w:val="21"/>
              </w:rPr>
              <w:t>, or covering the added cost of technology fees.</w:t>
            </w:r>
          </w:p>
        </w:tc>
        <w:tc>
          <w:tcPr>
            <w:tcW w:w="1887" w:type="dxa"/>
          </w:tcPr>
          <w:p w14:paraId="7E0F483B" w14:textId="1AB803B4" w:rsidR="00CC2A08" w:rsidRPr="00CC2A08" w:rsidRDefault="00CC2A08" w:rsidP="00CC2A08">
            <w:pPr>
              <w:rPr>
                <w:rFonts w:cstheme="minorHAnsi"/>
                <w:sz w:val="21"/>
                <w:szCs w:val="21"/>
              </w:rPr>
            </w:pPr>
            <w:r>
              <w:rPr>
                <w:sz w:val="21"/>
                <w:szCs w:val="21"/>
              </w:rPr>
              <w:t>$0.0</w:t>
            </w:r>
          </w:p>
        </w:tc>
        <w:tc>
          <w:tcPr>
            <w:tcW w:w="1440" w:type="dxa"/>
          </w:tcPr>
          <w:p w14:paraId="2D35AB73" w14:textId="6DD7034D" w:rsidR="00CC2A08" w:rsidRPr="00CC2A08" w:rsidRDefault="00CC2A08" w:rsidP="00CC2A08">
            <w:pPr>
              <w:rPr>
                <w:rFonts w:cstheme="minorHAnsi"/>
                <w:sz w:val="21"/>
                <w:szCs w:val="21"/>
              </w:rPr>
            </w:pPr>
            <w:r>
              <w:rPr>
                <w:sz w:val="21"/>
                <w:szCs w:val="21"/>
              </w:rPr>
              <w:t>$0.0</w:t>
            </w:r>
          </w:p>
        </w:tc>
        <w:tc>
          <w:tcPr>
            <w:tcW w:w="1440" w:type="dxa"/>
          </w:tcPr>
          <w:p w14:paraId="2BAB94DD" w14:textId="3DE24818" w:rsidR="00CC2A08" w:rsidRPr="00CC2A08" w:rsidRDefault="00CC2A08" w:rsidP="00CC2A08">
            <w:pPr>
              <w:rPr>
                <w:rFonts w:cstheme="minorHAnsi"/>
                <w:sz w:val="21"/>
                <w:szCs w:val="21"/>
              </w:rPr>
            </w:pPr>
            <w:r w:rsidRPr="001B58A8">
              <w:rPr>
                <w:sz w:val="21"/>
                <w:szCs w:val="21"/>
              </w:rPr>
              <w:t>$0.0</w:t>
            </w:r>
          </w:p>
        </w:tc>
        <w:tc>
          <w:tcPr>
            <w:tcW w:w="3516" w:type="dxa"/>
          </w:tcPr>
          <w:p w14:paraId="2B52FC0B" w14:textId="59DDC3C0" w:rsidR="00CC2A08" w:rsidRPr="00CC2A08" w:rsidRDefault="00CC2A08" w:rsidP="00CC2A08">
            <w:pPr>
              <w:rPr>
                <w:rFonts w:cstheme="minorHAnsi"/>
                <w:sz w:val="21"/>
                <w:szCs w:val="21"/>
              </w:rPr>
            </w:pPr>
          </w:p>
        </w:tc>
      </w:tr>
      <w:tr w:rsidR="00CC2A08" w:rsidRPr="00B0429C" w14:paraId="00EE2D99" w14:textId="77777777" w:rsidTr="004D4A3F">
        <w:trPr>
          <w:trHeight w:val="350"/>
        </w:trPr>
        <w:tc>
          <w:tcPr>
            <w:tcW w:w="6117" w:type="dxa"/>
          </w:tcPr>
          <w:p w14:paraId="5EE14C0E" w14:textId="016FA4EE" w:rsidR="00CC2A08" w:rsidRPr="0017254D" w:rsidRDefault="00CC2A08" w:rsidP="00CC2A08">
            <w:pPr>
              <w:rPr>
                <w:rFonts w:cstheme="minorHAnsi"/>
                <w:sz w:val="21"/>
                <w:szCs w:val="21"/>
              </w:rPr>
            </w:pPr>
            <w:r w:rsidRPr="0017254D">
              <w:rPr>
                <w:rFonts w:cstheme="minorHAnsi"/>
                <w:sz w:val="21"/>
                <w:szCs w:val="21"/>
              </w:rPr>
              <w:t>Providing or subsidizing the cost</w:t>
            </w:r>
            <w:r>
              <w:rPr>
                <w:rFonts w:cstheme="minorHAnsi"/>
                <w:sz w:val="21"/>
                <w:szCs w:val="21"/>
              </w:rPr>
              <w:t>s</w:t>
            </w:r>
            <w:r w:rsidRPr="0017254D">
              <w:rPr>
                <w:rFonts w:cstheme="minorHAnsi"/>
                <w:sz w:val="21"/>
                <w:szCs w:val="21"/>
              </w:rPr>
              <w:t xml:space="preserve"> of high</w:t>
            </w:r>
            <w:r>
              <w:rPr>
                <w:rFonts w:cstheme="minorHAnsi"/>
                <w:sz w:val="21"/>
                <w:szCs w:val="21"/>
              </w:rPr>
              <w:t>-</w:t>
            </w:r>
            <w:r w:rsidRPr="0017254D">
              <w:rPr>
                <w:rFonts w:cstheme="minorHAnsi"/>
                <w:sz w:val="21"/>
                <w:szCs w:val="21"/>
              </w:rPr>
              <w:t xml:space="preserve">speed internet to students or faculty to transition to </w:t>
            </w:r>
            <w:r>
              <w:rPr>
                <w:rFonts w:cstheme="minorHAnsi"/>
                <w:sz w:val="21"/>
                <w:szCs w:val="21"/>
              </w:rPr>
              <w:t>an</w:t>
            </w:r>
            <w:r w:rsidRPr="0017254D">
              <w:rPr>
                <w:rFonts w:cstheme="minorHAnsi"/>
                <w:sz w:val="21"/>
                <w:szCs w:val="21"/>
              </w:rPr>
              <w:t xml:space="preserve"> online environment</w:t>
            </w:r>
            <w:r>
              <w:rPr>
                <w:rFonts w:cstheme="minorHAnsi"/>
                <w:sz w:val="21"/>
                <w:szCs w:val="21"/>
              </w:rPr>
              <w:t>.</w:t>
            </w:r>
          </w:p>
        </w:tc>
        <w:tc>
          <w:tcPr>
            <w:tcW w:w="1887" w:type="dxa"/>
          </w:tcPr>
          <w:p w14:paraId="042FA51C" w14:textId="6E2A094F" w:rsidR="00CC2A08" w:rsidRPr="00CC2A08" w:rsidRDefault="00CC2A08" w:rsidP="00CC2A08">
            <w:pPr>
              <w:rPr>
                <w:rFonts w:cstheme="minorHAnsi"/>
                <w:sz w:val="21"/>
                <w:szCs w:val="21"/>
              </w:rPr>
            </w:pPr>
            <w:r>
              <w:rPr>
                <w:sz w:val="21"/>
                <w:szCs w:val="21"/>
              </w:rPr>
              <w:t>$0.0</w:t>
            </w:r>
          </w:p>
        </w:tc>
        <w:tc>
          <w:tcPr>
            <w:tcW w:w="1440" w:type="dxa"/>
          </w:tcPr>
          <w:p w14:paraId="1BB58F90" w14:textId="4B3DBE3D" w:rsidR="00CC2A08" w:rsidRPr="00CC2A08" w:rsidRDefault="00CC2A08" w:rsidP="00CC2A08">
            <w:pPr>
              <w:rPr>
                <w:rFonts w:cstheme="minorHAnsi"/>
                <w:sz w:val="21"/>
                <w:szCs w:val="21"/>
              </w:rPr>
            </w:pPr>
            <w:r>
              <w:rPr>
                <w:sz w:val="21"/>
                <w:szCs w:val="21"/>
              </w:rPr>
              <w:t>$</w:t>
            </w:r>
            <w:r>
              <w:rPr>
                <w:sz w:val="21"/>
                <w:szCs w:val="21"/>
              </w:rPr>
              <w:t>2</w:t>
            </w:r>
            <w:r>
              <w:rPr>
                <w:sz w:val="21"/>
                <w:szCs w:val="21"/>
              </w:rPr>
              <w:t>0.0</w:t>
            </w:r>
          </w:p>
        </w:tc>
        <w:tc>
          <w:tcPr>
            <w:tcW w:w="1440" w:type="dxa"/>
          </w:tcPr>
          <w:p w14:paraId="2ACA4043" w14:textId="2CF49F5B" w:rsidR="00CC2A08" w:rsidRPr="00CC2A08" w:rsidRDefault="00CC2A08" w:rsidP="00CC2A08">
            <w:pPr>
              <w:rPr>
                <w:rFonts w:cstheme="minorHAnsi"/>
                <w:sz w:val="21"/>
                <w:szCs w:val="21"/>
              </w:rPr>
            </w:pPr>
            <w:r w:rsidRPr="001B58A8">
              <w:rPr>
                <w:sz w:val="21"/>
                <w:szCs w:val="21"/>
              </w:rPr>
              <w:t>$0.0</w:t>
            </w:r>
          </w:p>
        </w:tc>
        <w:tc>
          <w:tcPr>
            <w:tcW w:w="3516" w:type="dxa"/>
          </w:tcPr>
          <w:p w14:paraId="32DDC57D" w14:textId="707A9C47" w:rsidR="00CC2A08" w:rsidRPr="00CC2A08" w:rsidRDefault="00CC2A08" w:rsidP="00CC2A08">
            <w:pPr>
              <w:rPr>
                <w:rFonts w:cstheme="minorHAnsi"/>
                <w:sz w:val="21"/>
                <w:szCs w:val="21"/>
              </w:rPr>
            </w:pPr>
          </w:p>
        </w:tc>
      </w:tr>
      <w:tr w:rsidR="003860CC" w:rsidRPr="00B0429C" w14:paraId="276F8753" w14:textId="77777777" w:rsidTr="004D4A3F">
        <w:trPr>
          <w:trHeight w:val="350"/>
        </w:trPr>
        <w:tc>
          <w:tcPr>
            <w:tcW w:w="6117" w:type="dxa"/>
          </w:tcPr>
          <w:p w14:paraId="4C57EA3F" w14:textId="19008609" w:rsidR="007D277A" w:rsidRPr="003860CC" w:rsidDel="000711FF" w:rsidRDefault="007D277A" w:rsidP="00A51E00">
            <w:pPr>
              <w:keepNext/>
              <w:rPr>
                <w:rFonts w:cstheme="minorHAnsi"/>
                <w:sz w:val="21"/>
                <w:szCs w:val="21"/>
              </w:rPr>
            </w:pPr>
            <w:r w:rsidRPr="003860CC">
              <w:rPr>
                <w:rFonts w:cstheme="minorHAnsi"/>
                <w:sz w:val="21"/>
                <w:szCs w:val="21"/>
              </w:rPr>
              <w:t>Subsidizing off-campus housing costs due to dorm</w:t>
            </w:r>
            <w:r w:rsidR="00CD4F01" w:rsidRPr="003860CC">
              <w:rPr>
                <w:rFonts w:cstheme="minorHAnsi"/>
                <w:sz w:val="21"/>
                <w:szCs w:val="21"/>
              </w:rPr>
              <w:t>itory</w:t>
            </w:r>
            <w:r w:rsidRPr="003860CC">
              <w:rPr>
                <w:rFonts w:cstheme="minorHAnsi"/>
                <w:sz w:val="21"/>
                <w:szCs w:val="21"/>
              </w:rPr>
              <w:t xml:space="preserve"> closures or decisions to limit housing to one student per room; subsidizing housing costs to reduce housing density; paying for hotels or other off-campus housing for students who need to be isolated; paying travel expenses for students who need to leave campus early due to coronavirus infection</w:t>
            </w:r>
            <w:r w:rsidR="00E117B0" w:rsidRPr="003860CC">
              <w:rPr>
                <w:rFonts w:cstheme="minorHAnsi"/>
                <w:sz w:val="21"/>
                <w:szCs w:val="21"/>
              </w:rPr>
              <w:t>s</w:t>
            </w:r>
            <w:r w:rsidRPr="003860CC">
              <w:rPr>
                <w:rFonts w:cstheme="minorHAnsi"/>
                <w:sz w:val="21"/>
                <w:szCs w:val="21"/>
              </w:rPr>
              <w:t xml:space="preserve"> or campus interruptions.</w:t>
            </w:r>
          </w:p>
        </w:tc>
        <w:tc>
          <w:tcPr>
            <w:tcW w:w="1887" w:type="dxa"/>
          </w:tcPr>
          <w:p w14:paraId="63C25E68" w14:textId="5DB40ECA" w:rsidR="007D277A" w:rsidRPr="00CC2A08" w:rsidRDefault="00CC2A08" w:rsidP="00A51E00">
            <w:pPr>
              <w:rPr>
                <w:rFonts w:cstheme="minorHAnsi"/>
                <w:sz w:val="21"/>
                <w:szCs w:val="21"/>
              </w:rPr>
            </w:pPr>
            <w:r>
              <w:rPr>
                <w:sz w:val="21"/>
                <w:szCs w:val="21"/>
              </w:rPr>
              <w:t>$0.0</w:t>
            </w:r>
          </w:p>
        </w:tc>
        <w:tc>
          <w:tcPr>
            <w:tcW w:w="1440" w:type="dxa"/>
          </w:tcPr>
          <w:p w14:paraId="09F8ACAE" w14:textId="72B86BA0" w:rsidR="007D277A" w:rsidRPr="00CC2A08" w:rsidRDefault="00CC2A08" w:rsidP="00A51E00">
            <w:pPr>
              <w:rPr>
                <w:rFonts w:cstheme="minorHAnsi"/>
                <w:sz w:val="21"/>
                <w:szCs w:val="21"/>
              </w:rPr>
            </w:pPr>
            <w:r>
              <w:rPr>
                <w:sz w:val="21"/>
                <w:szCs w:val="21"/>
              </w:rPr>
              <w:t>$0.0</w:t>
            </w:r>
          </w:p>
        </w:tc>
        <w:tc>
          <w:tcPr>
            <w:tcW w:w="1440" w:type="dxa"/>
          </w:tcPr>
          <w:p w14:paraId="003DA1ED" w14:textId="2805CDB7" w:rsidR="007D277A" w:rsidRPr="00CC2A08" w:rsidRDefault="00CC2A08" w:rsidP="00A51E00">
            <w:pPr>
              <w:rPr>
                <w:rFonts w:cstheme="minorHAnsi"/>
                <w:sz w:val="21"/>
                <w:szCs w:val="21"/>
              </w:rPr>
            </w:pPr>
            <w:r>
              <w:rPr>
                <w:sz w:val="21"/>
                <w:szCs w:val="21"/>
              </w:rPr>
              <w:t>$0.0</w:t>
            </w:r>
          </w:p>
        </w:tc>
        <w:tc>
          <w:tcPr>
            <w:tcW w:w="3516" w:type="dxa"/>
          </w:tcPr>
          <w:p w14:paraId="32ACBA30" w14:textId="2C10168B" w:rsidR="007D277A" w:rsidRPr="00CC2A08" w:rsidRDefault="007D277A" w:rsidP="00A51E00">
            <w:pPr>
              <w:rPr>
                <w:rFonts w:cstheme="minorHAnsi"/>
                <w:sz w:val="21"/>
                <w:szCs w:val="21"/>
              </w:rPr>
            </w:pPr>
          </w:p>
        </w:tc>
      </w:tr>
      <w:tr w:rsidR="00CC2A08" w:rsidRPr="00B0429C" w14:paraId="1904C78D" w14:textId="77777777" w:rsidTr="004D4A3F">
        <w:trPr>
          <w:trHeight w:val="350"/>
        </w:trPr>
        <w:tc>
          <w:tcPr>
            <w:tcW w:w="6117" w:type="dxa"/>
          </w:tcPr>
          <w:p w14:paraId="7CA7445B" w14:textId="77777777" w:rsidR="00CC2A08" w:rsidRPr="0017254D" w:rsidRDefault="00CC2A08" w:rsidP="00CC2A08">
            <w:pPr>
              <w:rPr>
                <w:rFonts w:cstheme="minorHAnsi"/>
                <w:sz w:val="21"/>
                <w:szCs w:val="21"/>
              </w:rPr>
            </w:pPr>
            <w:r w:rsidRPr="0017254D">
              <w:rPr>
                <w:rFonts w:cstheme="minorHAnsi"/>
                <w:sz w:val="21"/>
                <w:szCs w:val="21"/>
              </w:rPr>
              <w:t xml:space="preserve">Subsidizing food service to reduce density in eating facilities, to provide pre-packaged meals, or to add hours to food service operations to accommodate social distancing. </w:t>
            </w:r>
          </w:p>
        </w:tc>
        <w:tc>
          <w:tcPr>
            <w:tcW w:w="1887" w:type="dxa"/>
          </w:tcPr>
          <w:p w14:paraId="37F642A8" w14:textId="5FA83538" w:rsidR="00CC2A08" w:rsidRPr="00CC2A08" w:rsidRDefault="00CC2A08" w:rsidP="00CC2A08">
            <w:pPr>
              <w:rPr>
                <w:rFonts w:cstheme="minorHAnsi"/>
                <w:sz w:val="21"/>
                <w:szCs w:val="21"/>
              </w:rPr>
            </w:pPr>
            <w:r>
              <w:rPr>
                <w:sz w:val="21"/>
                <w:szCs w:val="21"/>
              </w:rPr>
              <w:t>$0.0</w:t>
            </w:r>
          </w:p>
        </w:tc>
        <w:tc>
          <w:tcPr>
            <w:tcW w:w="1440" w:type="dxa"/>
          </w:tcPr>
          <w:p w14:paraId="78D66BDD" w14:textId="5ACEA86E" w:rsidR="00CC2A08" w:rsidRPr="00CC2A08" w:rsidRDefault="00CC2A08" w:rsidP="00CC2A08">
            <w:pPr>
              <w:rPr>
                <w:rFonts w:cstheme="minorHAnsi"/>
                <w:sz w:val="21"/>
                <w:szCs w:val="21"/>
              </w:rPr>
            </w:pPr>
            <w:r w:rsidRPr="00EA0A27">
              <w:rPr>
                <w:sz w:val="21"/>
                <w:szCs w:val="21"/>
              </w:rPr>
              <w:t>$0.0</w:t>
            </w:r>
          </w:p>
        </w:tc>
        <w:tc>
          <w:tcPr>
            <w:tcW w:w="1440" w:type="dxa"/>
          </w:tcPr>
          <w:p w14:paraId="706ADB98" w14:textId="31BF6887" w:rsidR="00CC2A08" w:rsidRPr="00CC2A08" w:rsidRDefault="00CC2A08" w:rsidP="00CC2A08">
            <w:pPr>
              <w:rPr>
                <w:rFonts w:cstheme="minorHAnsi"/>
                <w:sz w:val="21"/>
                <w:szCs w:val="21"/>
              </w:rPr>
            </w:pPr>
            <w:r w:rsidRPr="001D0974">
              <w:rPr>
                <w:sz w:val="21"/>
                <w:szCs w:val="21"/>
              </w:rPr>
              <w:t>$0.0</w:t>
            </w:r>
          </w:p>
        </w:tc>
        <w:tc>
          <w:tcPr>
            <w:tcW w:w="3516" w:type="dxa"/>
          </w:tcPr>
          <w:p w14:paraId="7D67FA93" w14:textId="5779A2E4" w:rsidR="00CC2A08" w:rsidRPr="00CC2A08" w:rsidRDefault="00CC2A08" w:rsidP="00CC2A08">
            <w:pPr>
              <w:rPr>
                <w:rFonts w:cstheme="minorHAnsi"/>
                <w:sz w:val="21"/>
                <w:szCs w:val="21"/>
              </w:rPr>
            </w:pPr>
          </w:p>
        </w:tc>
      </w:tr>
      <w:tr w:rsidR="00CC2A08" w:rsidRPr="00B0429C" w14:paraId="52E533B8" w14:textId="77777777" w:rsidTr="004D4A3F">
        <w:trPr>
          <w:trHeight w:val="350"/>
        </w:trPr>
        <w:tc>
          <w:tcPr>
            <w:tcW w:w="6117" w:type="dxa"/>
            <w:shd w:val="clear" w:color="auto" w:fill="auto"/>
          </w:tcPr>
          <w:p w14:paraId="6768204C" w14:textId="7B31BBE3" w:rsidR="00CC2A08" w:rsidRPr="0017254D" w:rsidDel="000711FF" w:rsidRDefault="00CC2A08" w:rsidP="00CC2A08">
            <w:pPr>
              <w:tabs>
                <w:tab w:val="center" w:pos="1599"/>
              </w:tabs>
              <w:rPr>
                <w:rFonts w:cstheme="minorHAnsi"/>
                <w:sz w:val="21"/>
                <w:szCs w:val="21"/>
              </w:rPr>
            </w:pPr>
            <w:r>
              <w:rPr>
                <w:rFonts w:cstheme="minorHAnsi"/>
                <w:sz w:val="21"/>
                <w:szCs w:val="21"/>
              </w:rPr>
              <w:t>Costs related to o</w:t>
            </w:r>
            <w:r w:rsidRPr="0017254D">
              <w:rPr>
                <w:rFonts w:cstheme="minorHAnsi"/>
                <w:sz w:val="21"/>
                <w:szCs w:val="21"/>
              </w:rPr>
              <w:t xml:space="preserve">perating additional class sections to enable social distancing, </w:t>
            </w:r>
            <w:r>
              <w:rPr>
                <w:rFonts w:cstheme="minorHAnsi"/>
                <w:sz w:val="21"/>
                <w:szCs w:val="21"/>
              </w:rPr>
              <w:t xml:space="preserve">such as those for </w:t>
            </w:r>
            <w:r w:rsidRPr="0017254D">
              <w:rPr>
                <w:rFonts w:cstheme="minorHAnsi"/>
                <w:sz w:val="21"/>
                <w:szCs w:val="21"/>
              </w:rPr>
              <w:t>hiring more instructors and increasing campus hours of operations</w:t>
            </w:r>
            <w:r>
              <w:rPr>
                <w:rFonts w:cstheme="minorHAnsi"/>
                <w:sz w:val="21"/>
                <w:szCs w:val="21"/>
              </w:rPr>
              <w:t>.</w:t>
            </w:r>
            <w:r w:rsidRPr="0017254D">
              <w:rPr>
                <w:rFonts w:cstheme="minorHAnsi"/>
                <w:sz w:val="21"/>
                <w:szCs w:val="21"/>
              </w:rPr>
              <w:t xml:space="preserve"> </w:t>
            </w:r>
          </w:p>
        </w:tc>
        <w:tc>
          <w:tcPr>
            <w:tcW w:w="1887" w:type="dxa"/>
            <w:shd w:val="clear" w:color="auto" w:fill="auto"/>
          </w:tcPr>
          <w:p w14:paraId="20ABE6AB" w14:textId="530E9D61" w:rsidR="00CC2A08" w:rsidRPr="00CC2A08" w:rsidRDefault="00CC2A08" w:rsidP="00CC2A08">
            <w:pPr>
              <w:rPr>
                <w:rFonts w:cstheme="minorHAnsi"/>
                <w:sz w:val="21"/>
                <w:szCs w:val="21"/>
              </w:rPr>
            </w:pPr>
            <w:r>
              <w:rPr>
                <w:sz w:val="21"/>
                <w:szCs w:val="21"/>
              </w:rPr>
              <w:t>$0.0</w:t>
            </w:r>
          </w:p>
        </w:tc>
        <w:tc>
          <w:tcPr>
            <w:tcW w:w="1440" w:type="dxa"/>
          </w:tcPr>
          <w:p w14:paraId="56D868B5" w14:textId="45206B23" w:rsidR="00CC2A08" w:rsidRPr="00CC2A08" w:rsidRDefault="00CC2A08" w:rsidP="00CC2A08">
            <w:pPr>
              <w:rPr>
                <w:rFonts w:cstheme="minorHAnsi"/>
                <w:sz w:val="21"/>
                <w:szCs w:val="21"/>
              </w:rPr>
            </w:pPr>
            <w:r w:rsidRPr="00EA0A27">
              <w:rPr>
                <w:sz w:val="21"/>
                <w:szCs w:val="21"/>
              </w:rPr>
              <w:t>$0.0</w:t>
            </w:r>
          </w:p>
        </w:tc>
        <w:tc>
          <w:tcPr>
            <w:tcW w:w="1440" w:type="dxa"/>
          </w:tcPr>
          <w:p w14:paraId="519791DD" w14:textId="1719DCCF" w:rsidR="00CC2A08" w:rsidRPr="00CC2A08" w:rsidRDefault="00CC2A08" w:rsidP="00CC2A08">
            <w:pPr>
              <w:rPr>
                <w:rFonts w:cstheme="minorHAnsi"/>
                <w:sz w:val="21"/>
                <w:szCs w:val="21"/>
              </w:rPr>
            </w:pPr>
            <w:r w:rsidRPr="001D0974">
              <w:rPr>
                <w:sz w:val="21"/>
                <w:szCs w:val="21"/>
              </w:rPr>
              <w:t>$0.0</w:t>
            </w:r>
          </w:p>
        </w:tc>
        <w:tc>
          <w:tcPr>
            <w:tcW w:w="3516" w:type="dxa"/>
            <w:shd w:val="clear" w:color="auto" w:fill="auto"/>
          </w:tcPr>
          <w:p w14:paraId="7DBCE68A" w14:textId="4E774B7B" w:rsidR="00CC2A08" w:rsidRPr="00CC2A08" w:rsidRDefault="00CC2A08" w:rsidP="00CC2A08">
            <w:pPr>
              <w:rPr>
                <w:rFonts w:cstheme="minorHAnsi"/>
                <w:sz w:val="21"/>
                <w:szCs w:val="21"/>
              </w:rPr>
            </w:pPr>
          </w:p>
        </w:tc>
      </w:tr>
      <w:tr w:rsidR="00CC2A08" w:rsidRPr="00B0429C" w14:paraId="2046ED9F" w14:textId="77777777" w:rsidTr="00F95BAB">
        <w:trPr>
          <w:trHeight w:val="403"/>
        </w:trPr>
        <w:tc>
          <w:tcPr>
            <w:tcW w:w="6117" w:type="dxa"/>
            <w:shd w:val="clear" w:color="auto" w:fill="auto"/>
          </w:tcPr>
          <w:p w14:paraId="54533AE1" w14:textId="1C6FE727" w:rsidR="00CC2A08" w:rsidRDefault="00CC2A08" w:rsidP="00CC2A08">
            <w:pPr>
              <w:tabs>
                <w:tab w:val="center" w:pos="1599"/>
              </w:tabs>
              <w:rPr>
                <w:rFonts w:cstheme="minorHAnsi"/>
                <w:sz w:val="21"/>
                <w:szCs w:val="21"/>
              </w:rPr>
            </w:pPr>
            <w:r w:rsidRPr="0017254D">
              <w:rPr>
                <w:rFonts w:cstheme="minorHAnsi"/>
                <w:sz w:val="21"/>
                <w:szCs w:val="21"/>
              </w:rPr>
              <w:lastRenderedPageBreak/>
              <w:t>Campus safety and operations</w:t>
            </w:r>
            <w:r>
              <w:rPr>
                <w:rFonts w:cstheme="minorHAnsi"/>
                <w:sz w:val="21"/>
                <w:szCs w:val="21"/>
              </w:rPr>
              <w:t>.</w:t>
            </w:r>
            <w:r w:rsidRPr="0017254D">
              <w:rPr>
                <w:rStyle w:val="FootnoteReference"/>
                <w:rFonts w:cstheme="minorHAnsi"/>
                <w:sz w:val="21"/>
                <w:szCs w:val="21"/>
              </w:rPr>
              <w:footnoteReference w:id="3"/>
            </w:r>
          </w:p>
        </w:tc>
        <w:tc>
          <w:tcPr>
            <w:tcW w:w="1887" w:type="dxa"/>
            <w:shd w:val="clear" w:color="auto" w:fill="auto"/>
          </w:tcPr>
          <w:p w14:paraId="1806B6B0" w14:textId="15B6C0E9" w:rsidR="00CC2A08" w:rsidRPr="00206D77" w:rsidRDefault="00CC2A08" w:rsidP="00CC2A08">
            <w:pPr>
              <w:rPr>
                <w:rFonts w:cstheme="minorHAnsi"/>
                <w:sz w:val="21"/>
                <w:szCs w:val="21"/>
              </w:rPr>
            </w:pPr>
            <w:r w:rsidRPr="004170FE">
              <w:rPr>
                <w:sz w:val="21"/>
                <w:szCs w:val="21"/>
              </w:rPr>
              <w:t>$0.0</w:t>
            </w:r>
          </w:p>
        </w:tc>
        <w:tc>
          <w:tcPr>
            <w:tcW w:w="1440" w:type="dxa"/>
          </w:tcPr>
          <w:p w14:paraId="549B3575" w14:textId="3A9F2B73" w:rsidR="00CC2A08" w:rsidRPr="00206D77" w:rsidRDefault="00CC2A08" w:rsidP="00CC2A08">
            <w:pPr>
              <w:rPr>
                <w:rFonts w:cstheme="minorHAnsi"/>
                <w:sz w:val="21"/>
                <w:szCs w:val="21"/>
              </w:rPr>
            </w:pPr>
            <w:r w:rsidRPr="00F9622D">
              <w:rPr>
                <w:sz w:val="21"/>
                <w:szCs w:val="21"/>
              </w:rPr>
              <w:t>$0.0</w:t>
            </w:r>
          </w:p>
        </w:tc>
        <w:tc>
          <w:tcPr>
            <w:tcW w:w="1440" w:type="dxa"/>
          </w:tcPr>
          <w:p w14:paraId="615EBA32" w14:textId="5E8D542E" w:rsidR="00CC2A08" w:rsidRPr="00206D77" w:rsidRDefault="00CC2A08" w:rsidP="00CC2A08">
            <w:pPr>
              <w:rPr>
                <w:rFonts w:cstheme="minorHAnsi"/>
                <w:sz w:val="21"/>
                <w:szCs w:val="21"/>
              </w:rPr>
            </w:pPr>
            <w:r w:rsidRPr="00744109">
              <w:rPr>
                <w:sz w:val="21"/>
                <w:szCs w:val="21"/>
              </w:rPr>
              <w:t>$0.0</w:t>
            </w:r>
          </w:p>
        </w:tc>
        <w:tc>
          <w:tcPr>
            <w:tcW w:w="3516" w:type="dxa"/>
            <w:shd w:val="clear" w:color="auto" w:fill="auto"/>
          </w:tcPr>
          <w:p w14:paraId="0A19F133" w14:textId="77777777" w:rsidR="00CC2A08" w:rsidRPr="00206D77" w:rsidRDefault="00CC2A08" w:rsidP="00CC2A08">
            <w:pPr>
              <w:rPr>
                <w:rFonts w:cstheme="minorHAnsi"/>
                <w:sz w:val="21"/>
                <w:szCs w:val="21"/>
              </w:rPr>
            </w:pPr>
          </w:p>
        </w:tc>
      </w:tr>
      <w:tr w:rsidR="00CC2A08" w:rsidRPr="00B0429C" w14:paraId="54406B79" w14:textId="77777777" w:rsidTr="004D4A3F">
        <w:trPr>
          <w:trHeight w:val="350"/>
        </w:trPr>
        <w:tc>
          <w:tcPr>
            <w:tcW w:w="6117" w:type="dxa"/>
            <w:shd w:val="clear" w:color="auto" w:fill="auto"/>
          </w:tcPr>
          <w:p w14:paraId="3DFDEFC9" w14:textId="41238614" w:rsidR="00CC2A08" w:rsidRPr="0017254D" w:rsidDel="000711FF" w:rsidRDefault="00CC2A08" w:rsidP="00CC2A08">
            <w:pPr>
              <w:rPr>
                <w:rFonts w:cstheme="minorHAnsi"/>
                <w:sz w:val="21"/>
                <w:szCs w:val="21"/>
              </w:rPr>
            </w:pPr>
            <w:r w:rsidRPr="0017254D">
              <w:rPr>
                <w:rFonts w:cstheme="minorHAnsi"/>
                <w:sz w:val="21"/>
                <w:szCs w:val="21"/>
              </w:rPr>
              <w:t>Purchasing</w:t>
            </w:r>
            <w:r>
              <w:rPr>
                <w:rFonts w:cstheme="minorHAnsi"/>
                <w:sz w:val="21"/>
                <w:szCs w:val="21"/>
              </w:rPr>
              <w:t>, leasing,</w:t>
            </w:r>
            <w:r w:rsidRPr="0017254D">
              <w:rPr>
                <w:rFonts w:cstheme="minorHAnsi"/>
                <w:sz w:val="21"/>
                <w:szCs w:val="21"/>
              </w:rPr>
              <w:t xml:space="preserve"> </w:t>
            </w:r>
            <w:r>
              <w:rPr>
                <w:rFonts w:cstheme="minorHAnsi"/>
                <w:sz w:val="21"/>
                <w:szCs w:val="21"/>
              </w:rPr>
              <w:t xml:space="preserve">or renting </w:t>
            </w:r>
            <w:r w:rsidRPr="0017254D">
              <w:rPr>
                <w:rFonts w:cstheme="minorHAnsi"/>
                <w:sz w:val="21"/>
                <w:szCs w:val="21"/>
              </w:rPr>
              <w:t>additional instructional equipment and supplies (such as laboratory equipment or computers) to reduce the number of students sharing equipment or supplies during a single class period and to provide time for disinfection between uses.</w:t>
            </w:r>
          </w:p>
        </w:tc>
        <w:tc>
          <w:tcPr>
            <w:tcW w:w="1887" w:type="dxa"/>
            <w:shd w:val="clear" w:color="auto" w:fill="auto"/>
          </w:tcPr>
          <w:p w14:paraId="51E4D8F8" w14:textId="1F136A30" w:rsidR="00CC2A08" w:rsidRPr="00206D77" w:rsidRDefault="00CC2A08" w:rsidP="00CC2A08">
            <w:pPr>
              <w:rPr>
                <w:rFonts w:cstheme="minorHAnsi"/>
                <w:sz w:val="21"/>
                <w:szCs w:val="21"/>
              </w:rPr>
            </w:pPr>
            <w:r w:rsidRPr="004170FE">
              <w:rPr>
                <w:sz w:val="21"/>
                <w:szCs w:val="21"/>
              </w:rPr>
              <w:t>$0.0</w:t>
            </w:r>
          </w:p>
        </w:tc>
        <w:tc>
          <w:tcPr>
            <w:tcW w:w="1440" w:type="dxa"/>
          </w:tcPr>
          <w:p w14:paraId="744DD604" w14:textId="0752A99B" w:rsidR="00CC2A08" w:rsidRPr="00206D77" w:rsidRDefault="00CC2A08" w:rsidP="00CC2A08">
            <w:pPr>
              <w:rPr>
                <w:rFonts w:cstheme="minorHAnsi"/>
                <w:sz w:val="21"/>
                <w:szCs w:val="21"/>
              </w:rPr>
            </w:pPr>
            <w:r w:rsidRPr="00F9622D">
              <w:rPr>
                <w:sz w:val="21"/>
                <w:szCs w:val="21"/>
              </w:rPr>
              <w:t>$0.0</w:t>
            </w:r>
          </w:p>
        </w:tc>
        <w:tc>
          <w:tcPr>
            <w:tcW w:w="1440" w:type="dxa"/>
          </w:tcPr>
          <w:p w14:paraId="71CAF7FE" w14:textId="6EE35AE6" w:rsidR="00CC2A08" w:rsidRPr="00206D77" w:rsidRDefault="00CC2A08" w:rsidP="00CC2A08">
            <w:pPr>
              <w:rPr>
                <w:rFonts w:cstheme="minorHAnsi"/>
                <w:sz w:val="21"/>
                <w:szCs w:val="21"/>
              </w:rPr>
            </w:pPr>
            <w:r w:rsidRPr="00744109">
              <w:rPr>
                <w:sz w:val="21"/>
                <w:szCs w:val="21"/>
              </w:rPr>
              <w:t>$0.0</w:t>
            </w:r>
          </w:p>
        </w:tc>
        <w:tc>
          <w:tcPr>
            <w:tcW w:w="3516" w:type="dxa"/>
            <w:shd w:val="clear" w:color="auto" w:fill="auto"/>
          </w:tcPr>
          <w:p w14:paraId="536491F6" w14:textId="3EC39F81" w:rsidR="00CC2A08" w:rsidRPr="00206D77" w:rsidRDefault="00CC2A08" w:rsidP="00CC2A08">
            <w:pPr>
              <w:rPr>
                <w:rFonts w:cstheme="minorHAnsi"/>
                <w:sz w:val="21"/>
                <w:szCs w:val="21"/>
              </w:rPr>
            </w:pPr>
          </w:p>
        </w:tc>
      </w:tr>
      <w:tr w:rsidR="00CC2A08" w:rsidRPr="00B0429C" w14:paraId="6D490BC2" w14:textId="77777777" w:rsidTr="00D377C8">
        <w:trPr>
          <w:trHeight w:val="576"/>
        </w:trPr>
        <w:tc>
          <w:tcPr>
            <w:tcW w:w="6117" w:type="dxa"/>
          </w:tcPr>
          <w:p w14:paraId="4667EA62" w14:textId="3E01EBBA" w:rsidR="00CC2A08" w:rsidRPr="0017254D" w:rsidDel="000711FF" w:rsidRDefault="00CC2A08" w:rsidP="00CC2A08">
            <w:pPr>
              <w:rPr>
                <w:rFonts w:cstheme="minorHAnsi"/>
                <w:b/>
                <w:bCs/>
                <w:sz w:val="21"/>
                <w:szCs w:val="21"/>
              </w:rPr>
            </w:pPr>
            <w:r w:rsidRPr="0017254D">
              <w:rPr>
                <w:rFonts w:cstheme="minorHAnsi"/>
                <w:sz w:val="21"/>
                <w:szCs w:val="21"/>
              </w:rPr>
              <w:t>Replacing lost revenue due to reduced enrollment</w:t>
            </w:r>
            <w:r>
              <w:rPr>
                <w:rFonts w:cstheme="minorHAnsi"/>
                <w:sz w:val="21"/>
                <w:szCs w:val="21"/>
              </w:rPr>
              <w:t>.</w:t>
            </w:r>
          </w:p>
        </w:tc>
        <w:tc>
          <w:tcPr>
            <w:tcW w:w="1887" w:type="dxa"/>
            <w:shd w:val="clear" w:color="auto" w:fill="7F7F7F" w:themeFill="text1" w:themeFillTint="80"/>
          </w:tcPr>
          <w:p w14:paraId="1B977AE2" w14:textId="2E73FC64" w:rsidR="00CC2A08" w:rsidRPr="00206D77" w:rsidRDefault="00CC2A08" w:rsidP="00CC2A08">
            <w:pPr>
              <w:rPr>
                <w:rFonts w:cstheme="minorHAnsi"/>
                <w:sz w:val="21"/>
                <w:szCs w:val="21"/>
              </w:rPr>
            </w:pPr>
          </w:p>
        </w:tc>
        <w:tc>
          <w:tcPr>
            <w:tcW w:w="1440" w:type="dxa"/>
          </w:tcPr>
          <w:p w14:paraId="6674735D" w14:textId="133F3787" w:rsidR="00CC2A08" w:rsidRPr="00206D77" w:rsidRDefault="00CC2A08" w:rsidP="00CC2A08">
            <w:pPr>
              <w:rPr>
                <w:rFonts w:cstheme="minorHAnsi"/>
                <w:sz w:val="21"/>
                <w:szCs w:val="21"/>
              </w:rPr>
            </w:pPr>
          </w:p>
        </w:tc>
        <w:tc>
          <w:tcPr>
            <w:tcW w:w="1440" w:type="dxa"/>
          </w:tcPr>
          <w:p w14:paraId="0B04F62C" w14:textId="6D533E9A" w:rsidR="00CC2A08" w:rsidRPr="00206D77" w:rsidRDefault="00CC2A08" w:rsidP="00CC2A08">
            <w:pPr>
              <w:rPr>
                <w:rFonts w:cstheme="minorHAnsi"/>
                <w:sz w:val="21"/>
                <w:szCs w:val="21"/>
              </w:rPr>
            </w:pPr>
          </w:p>
        </w:tc>
        <w:tc>
          <w:tcPr>
            <w:tcW w:w="3516" w:type="dxa"/>
          </w:tcPr>
          <w:p w14:paraId="1D51FC4E" w14:textId="1298CD34" w:rsidR="00CC2A08" w:rsidRPr="00206D77" w:rsidRDefault="00CC2A08" w:rsidP="00CC2A08">
            <w:pPr>
              <w:rPr>
                <w:rFonts w:cstheme="minorHAnsi"/>
                <w:sz w:val="21"/>
                <w:szCs w:val="21"/>
              </w:rPr>
            </w:pPr>
          </w:p>
        </w:tc>
      </w:tr>
      <w:tr w:rsidR="00CC2A08" w:rsidRPr="00B0429C" w14:paraId="29FCFE0A" w14:textId="77777777" w:rsidTr="004D4A3F">
        <w:trPr>
          <w:trHeight w:val="350"/>
        </w:trPr>
        <w:tc>
          <w:tcPr>
            <w:tcW w:w="6117" w:type="dxa"/>
          </w:tcPr>
          <w:p w14:paraId="2654FFFF" w14:textId="1BE704DE" w:rsidR="00CC2A08" w:rsidRPr="0017254D" w:rsidRDefault="00CC2A08" w:rsidP="00CC2A08">
            <w:pPr>
              <w:rPr>
                <w:rFonts w:cstheme="minorHAnsi"/>
                <w:sz w:val="21"/>
                <w:szCs w:val="21"/>
              </w:rPr>
            </w:pPr>
            <w:r w:rsidRPr="0017254D">
              <w:rPr>
                <w:rFonts w:cstheme="minorHAnsi"/>
                <w:sz w:val="21"/>
                <w:szCs w:val="21"/>
              </w:rPr>
              <w:t>Replacing lost revenue from non-tuition sources (i.e.</w:t>
            </w:r>
            <w:r>
              <w:rPr>
                <w:rFonts w:cstheme="minorHAnsi"/>
                <w:sz w:val="21"/>
                <w:szCs w:val="21"/>
              </w:rPr>
              <w:t>,</w:t>
            </w:r>
            <w:r w:rsidRPr="0017254D">
              <w:rPr>
                <w:rFonts w:cstheme="minorHAnsi"/>
                <w:sz w:val="21"/>
                <w:szCs w:val="21"/>
              </w:rPr>
              <w:t xml:space="preserve"> cancelled ancillary events; disruption of food service, dorms, childcare or other facilities; cancellation of use of campus venues by other organizations, lost parking revenue, etc.)</w:t>
            </w:r>
            <w:r>
              <w:rPr>
                <w:rFonts w:cstheme="minorHAnsi"/>
                <w:sz w:val="21"/>
                <w:szCs w:val="21"/>
              </w:rPr>
              <w:t>.</w:t>
            </w:r>
            <w:r w:rsidRPr="0017254D">
              <w:rPr>
                <w:rStyle w:val="FootnoteReference"/>
                <w:rFonts w:cstheme="minorHAnsi"/>
                <w:sz w:val="21"/>
                <w:szCs w:val="21"/>
              </w:rPr>
              <w:footnoteReference w:id="4"/>
            </w:r>
          </w:p>
        </w:tc>
        <w:tc>
          <w:tcPr>
            <w:tcW w:w="1887" w:type="dxa"/>
            <w:shd w:val="clear" w:color="auto" w:fill="808080" w:themeFill="background1" w:themeFillShade="80"/>
          </w:tcPr>
          <w:p w14:paraId="25EDB07B" w14:textId="77777777" w:rsidR="00CC2A08" w:rsidRPr="00206D77" w:rsidRDefault="00CC2A08" w:rsidP="00CC2A08">
            <w:pPr>
              <w:rPr>
                <w:rFonts w:cstheme="minorHAnsi"/>
                <w:sz w:val="21"/>
                <w:szCs w:val="21"/>
              </w:rPr>
            </w:pPr>
          </w:p>
        </w:tc>
        <w:tc>
          <w:tcPr>
            <w:tcW w:w="1440" w:type="dxa"/>
          </w:tcPr>
          <w:p w14:paraId="29358BD2" w14:textId="2A903501" w:rsidR="00CC2A08" w:rsidRPr="00206D77" w:rsidRDefault="00CC2A08" w:rsidP="00CC2A08">
            <w:pPr>
              <w:rPr>
                <w:rFonts w:cstheme="minorHAnsi"/>
                <w:sz w:val="21"/>
                <w:szCs w:val="21"/>
              </w:rPr>
            </w:pPr>
            <w:r w:rsidRPr="00F9622D">
              <w:rPr>
                <w:sz w:val="21"/>
                <w:szCs w:val="21"/>
              </w:rPr>
              <w:t>$0.0</w:t>
            </w:r>
          </w:p>
        </w:tc>
        <w:tc>
          <w:tcPr>
            <w:tcW w:w="1440" w:type="dxa"/>
          </w:tcPr>
          <w:p w14:paraId="28168D6E" w14:textId="15FD5520" w:rsidR="00CC2A08" w:rsidRPr="00206D77" w:rsidRDefault="00CC2A08" w:rsidP="00CC2A08">
            <w:pPr>
              <w:rPr>
                <w:rFonts w:cstheme="minorHAnsi"/>
                <w:sz w:val="21"/>
                <w:szCs w:val="21"/>
              </w:rPr>
            </w:pPr>
            <w:r w:rsidRPr="00744109">
              <w:rPr>
                <w:sz w:val="21"/>
                <w:szCs w:val="21"/>
              </w:rPr>
              <w:t>$0.0</w:t>
            </w:r>
          </w:p>
        </w:tc>
        <w:tc>
          <w:tcPr>
            <w:tcW w:w="3516" w:type="dxa"/>
          </w:tcPr>
          <w:p w14:paraId="2A98262B" w14:textId="65223B8B" w:rsidR="00CC2A08" w:rsidRPr="00206D77" w:rsidRDefault="00406306" w:rsidP="00CC2A08">
            <w:pPr>
              <w:rPr>
                <w:rFonts w:cstheme="minorHAnsi"/>
                <w:sz w:val="21"/>
                <w:szCs w:val="21"/>
              </w:rPr>
            </w:pPr>
            <w:proofErr w:type="spellStart"/>
            <w:r>
              <w:rPr>
                <w:rFonts w:cstheme="minorHAnsi"/>
                <w:sz w:val="21"/>
                <w:szCs w:val="21"/>
              </w:rPr>
              <w:t>eggwe</w:t>
            </w:r>
            <w:proofErr w:type="spellEnd"/>
          </w:p>
        </w:tc>
      </w:tr>
      <w:tr w:rsidR="00CC2A08" w:rsidRPr="00B0429C" w14:paraId="3D00A8FB" w14:textId="77777777" w:rsidTr="004D4A3F">
        <w:trPr>
          <w:trHeight w:val="350"/>
        </w:trPr>
        <w:tc>
          <w:tcPr>
            <w:tcW w:w="6117" w:type="dxa"/>
          </w:tcPr>
          <w:p w14:paraId="69AA84DF" w14:textId="4520E7FA" w:rsidR="00CC2A08" w:rsidRPr="0017254D" w:rsidRDefault="00CC2A08" w:rsidP="00CC2A08">
            <w:pPr>
              <w:rPr>
                <w:rFonts w:cstheme="minorHAnsi"/>
                <w:sz w:val="21"/>
                <w:szCs w:val="21"/>
              </w:rPr>
            </w:pPr>
            <w:r w:rsidRPr="0017254D">
              <w:rPr>
                <w:rFonts w:cstheme="minorHAnsi"/>
                <w:sz w:val="21"/>
                <w:szCs w:val="21"/>
              </w:rPr>
              <w:t>Purchasing faculty and staff training in online instruction</w:t>
            </w:r>
            <w:r>
              <w:rPr>
                <w:rFonts w:cstheme="minorHAnsi"/>
                <w:sz w:val="21"/>
                <w:szCs w:val="21"/>
              </w:rPr>
              <w:t xml:space="preserve">; or paying additional funds to staff </w:t>
            </w:r>
            <w:r w:rsidRPr="007612B2">
              <w:rPr>
                <w:rFonts w:cstheme="minorHAnsi"/>
                <w:sz w:val="21"/>
                <w:szCs w:val="21"/>
              </w:rPr>
              <w:t>who are providing training in addition to their regular job responsibilities</w:t>
            </w:r>
            <w:r>
              <w:rPr>
                <w:rFonts w:cstheme="minorHAnsi"/>
                <w:sz w:val="21"/>
                <w:szCs w:val="21"/>
              </w:rPr>
              <w:t>.</w:t>
            </w:r>
          </w:p>
        </w:tc>
        <w:tc>
          <w:tcPr>
            <w:tcW w:w="1887" w:type="dxa"/>
          </w:tcPr>
          <w:p w14:paraId="4DB8448A" w14:textId="7AC6B730" w:rsidR="00CC2A08" w:rsidRPr="00206D77" w:rsidRDefault="00CC2A08" w:rsidP="00CC2A08">
            <w:pPr>
              <w:rPr>
                <w:rFonts w:cstheme="minorHAnsi"/>
                <w:sz w:val="21"/>
                <w:szCs w:val="21"/>
              </w:rPr>
            </w:pPr>
            <w:r w:rsidRPr="00A13089">
              <w:rPr>
                <w:sz w:val="21"/>
                <w:szCs w:val="21"/>
              </w:rPr>
              <w:t>$0.0</w:t>
            </w:r>
          </w:p>
        </w:tc>
        <w:tc>
          <w:tcPr>
            <w:tcW w:w="1440" w:type="dxa"/>
          </w:tcPr>
          <w:p w14:paraId="210749F4" w14:textId="794E24E0" w:rsidR="00CC2A08" w:rsidRPr="00206D77" w:rsidRDefault="00CC2A08" w:rsidP="00CC2A08">
            <w:pPr>
              <w:rPr>
                <w:rFonts w:cstheme="minorHAnsi"/>
                <w:sz w:val="21"/>
                <w:szCs w:val="21"/>
              </w:rPr>
            </w:pPr>
            <w:r w:rsidRPr="00F9622D">
              <w:rPr>
                <w:sz w:val="21"/>
                <w:szCs w:val="21"/>
              </w:rPr>
              <w:t>$0.0</w:t>
            </w:r>
          </w:p>
        </w:tc>
        <w:tc>
          <w:tcPr>
            <w:tcW w:w="1440" w:type="dxa"/>
          </w:tcPr>
          <w:p w14:paraId="1F9B9E8A" w14:textId="7B41F07C" w:rsidR="00CC2A08" w:rsidRPr="00206D77" w:rsidRDefault="00CC2A08" w:rsidP="00CC2A08">
            <w:pPr>
              <w:rPr>
                <w:rFonts w:cstheme="minorHAnsi"/>
                <w:sz w:val="21"/>
                <w:szCs w:val="21"/>
              </w:rPr>
            </w:pPr>
          </w:p>
        </w:tc>
        <w:tc>
          <w:tcPr>
            <w:tcW w:w="3516" w:type="dxa"/>
          </w:tcPr>
          <w:p w14:paraId="312A40B2" w14:textId="043C7D32" w:rsidR="00CC2A08" w:rsidRPr="00206D77" w:rsidRDefault="00CC2A08" w:rsidP="00CC2A08">
            <w:pPr>
              <w:rPr>
                <w:rFonts w:cstheme="minorHAnsi"/>
                <w:sz w:val="21"/>
                <w:szCs w:val="21"/>
              </w:rPr>
            </w:pPr>
          </w:p>
        </w:tc>
      </w:tr>
      <w:tr w:rsidR="00CC2A08" w:rsidRPr="00B0429C" w14:paraId="32E8CDA2" w14:textId="77777777" w:rsidTr="004D4A3F">
        <w:trPr>
          <w:trHeight w:val="350"/>
        </w:trPr>
        <w:tc>
          <w:tcPr>
            <w:tcW w:w="6117" w:type="dxa"/>
          </w:tcPr>
          <w:p w14:paraId="5D5F877D" w14:textId="64378978" w:rsidR="00CC2A08" w:rsidRPr="0017254D" w:rsidRDefault="00CC2A08" w:rsidP="00CC2A08">
            <w:pPr>
              <w:rPr>
                <w:rFonts w:cstheme="minorHAnsi"/>
                <w:sz w:val="21"/>
                <w:szCs w:val="21"/>
              </w:rPr>
            </w:pPr>
            <w:r w:rsidRPr="0017254D">
              <w:rPr>
                <w:rFonts w:cstheme="minorHAnsi"/>
                <w:sz w:val="21"/>
                <w:szCs w:val="21"/>
              </w:rPr>
              <w:t>Purchasing</w:t>
            </w:r>
            <w:r>
              <w:rPr>
                <w:rFonts w:cstheme="minorHAnsi"/>
                <w:sz w:val="21"/>
                <w:szCs w:val="21"/>
              </w:rPr>
              <w:t>, leasing,</w:t>
            </w:r>
            <w:r w:rsidRPr="0017254D">
              <w:rPr>
                <w:rFonts w:cstheme="minorHAnsi"/>
                <w:sz w:val="21"/>
                <w:szCs w:val="21"/>
              </w:rPr>
              <w:t xml:space="preserve"> </w:t>
            </w:r>
            <w:r>
              <w:rPr>
                <w:rFonts w:cstheme="minorHAnsi"/>
                <w:sz w:val="21"/>
                <w:szCs w:val="21"/>
              </w:rPr>
              <w:t xml:space="preserve">or renting </w:t>
            </w:r>
            <w:r w:rsidRPr="0017254D">
              <w:rPr>
                <w:rFonts w:cstheme="minorHAnsi"/>
                <w:sz w:val="21"/>
                <w:szCs w:val="21"/>
              </w:rPr>
              <w:t>additional equipment or software to enable distance learning, or upgrading campus wi-fi access or extending open networks to parking lots or public spaces, etc.</w:t>
            </w:r>
          </w:p>
        </w:tc>
        <w:tc>
          <w:tcPr>
            <w:tcW w:w="1887" w:type="dxa"/>
          </w:tcPr>
          <w:p w14:paraId="34DDAC3D" w14:textId="346E9749" w:rsidR="00CC2A08" w:rsidRPr="00206D77" w:rsidRDefault="00CC2A08" w:rsidP="00CC2A08">
            <w:pPr>
              <w:rPr>
                <w:rFonts w:cstheme="minorHAnsi"/>
                <w:sz w:val="21"/>
                <w:szCs w:val="21"/>
              </w:rPr>
            </w:pPr>
            <w:r w:rsidRPr="00A13089">
              <w:rPr>
                <w:sz w:val="21"/>
                <w:szCs w:val="21"/>
              </w:rPr>
              <w:t>$0.0</w:t>
            </w:r>
          </w:p>
        </w:tc>
        <w:tc>
          <w:tcPr>
            <w:tcW w:w="1440" w:type="dxa"/>
          </w:tcPr>
          <w:p w14:paraId="15FC4F6C" w14:textId="2BB3B8F6" w:rsidR="00CC2A08" w:rsidRPr="00206D77" w:rsidRDefault="00CC2A08" w:rsidP="00CC2A08">
            <w:pPr>
              <w:rPr>
                <w:rFonts w:cstheme="minorHAnsi"/>
                <w:sz w:val="21"/>
                <w:szCs w:val="21"/>
              </w:rPr>
            </w:pPr>
          </w:p>
        </w:tc>
        <w:tc>
          <w:tcPr>
            <w:tcW w:w="1440" w:type="dxa"/>
          </w:tcPr>
          <w:p w14:paraId="02D58DF5" w14:textId="403C33A0" w:rsidR="00CC2A08" w:rsidRPr="00206D77" w:rsidRDefault="00CC2A08" w:rsidP="00CC2A08">
            <w:pPr>
              <w:rPr>
                <w:rFonts w:cstheme="minorHAnsi"/>
                <w:sz w:val="21"/>
                <w:szCs w:val="21"/>
              </w:rPr>
            </w:pPr>
            <w:r w:rsidRPr="00744109">
              <w:rPr>
                <w:sz w:val="21"/>
                <w:szCs w:val="21"/>
              </w:rPr>
              <w:t>$0.0</w:t>
            </w:r>
          </w:p>
        </w:tc>
        <w:tc>
          <w:tcPr>
            <w:tcW w:w="3516" w:type="dxa"/>
          </w:tcPr>
          <w:p w14:paraId="3725743B" w14:textId="301DD087" w:rsidR="00CC2A08" w:rsidRPr="00206D77" w:rsidRDefault="00CC2A08" w:rsidP="00CC2A08">
            <w:pPr>
              <w:rPr>
                <w:rFonts w:cstheme="minorHAnsi"/>
                <w:sz w:val="21"/>
                <w:szCs w:val="21"/>
              </w:rPr>
            </w:pPr>
          </w:p>
        </w:tc>
      </w:tr>
      <w:tr w:rsidR="003860CC" w:rsidRPr="00B0429C" w14:paraId="540AB645" w14:textId="77777777" w:rsidTr="00D377C8">
        <w:trPr>
          <w:trHeight w:val="720"/>
        </w:trPr>
        <w:tc>
          <w:tcPr>
            <w:tcW w:w="6117" w:type="dxa"/>
          </w:tcPr>
          <w:p w14:paraId="5E5E266D" w14:textId="1689B82E" w:rsidR="007D277A" w:rsidRPr="0017254D" w:rsidRDefault="007D277A" w:rsidP="00A51E00">
            <w:pPr>
              <w:rPr>
                <w:rFonts w:cstheme="minorHAnsi"/>
                <w:b/>
                <w:bCs/>
                <w:sz w:val="21"/>
                <w:szCs w:val="21"/>
              </w:rPr>
            </w:pPr>
            <w:r w:rsidRPr="0017254D">
              <w:rPr>
                <w:rFonts w:cstheme="minorHAnsi"/>
                <w:sz w:val="21"/>
                <w:szCs w:val="21"/>
              </w:rPr>
              <w:t>Other Use</w:t>
            </w:r>
            <w:r w:rsidR="003B219A" w:rsidRPr="0017254D">
              <w:rPr>
                <w:rFonts w:cstheme="minorHAnsi"/>
                <w:sz w:val="21"/>
                <w:szCs w:val="21"/>
              </w:rPr>
              <w:t>s</w:t>
            </w:r>
            <w:r w:rsidRPr="0017254D">
              <w:rPr>
                <w:rFonts w:cstheme="minorHAnsi"/>
                <w:sz w:val="21"/>
                <w:szCs w:val="21"/>
              </w:rPr>
              <w:t xml:space="preserve"> of </w:t>
            </w:r>
            <w:r w:rsidR="00A206BF">
              <w:rPr>
                <w:rFonts w:cstheme="minorHAnsi"/>
                <w:sz w:val="21"/>
                <w:szCs w:val="21"/>
              </w:rPr>
              <w:t>(a)(1) Institutional</w:t>
            </w:r>
            <w:r w:rsidR="00BB1516">
              <w:rPr>
                <w:rFonts w:cstheme="minorHAnsi"/>
                <w:sz w:val="21"/>
                <w:szCs w:val="21"/>
              </w:rPr>
              <w:t xml:space="preserve"> Portion</w:t>
            </w:r>
            <w:r w:rsidR="00A206BF">
              <w:rPr>
                <w:rFonts w:cstheme="minorHAnsi"/>
                <w:sz w:val="21"/>
                <w:szCs w:val="21"/>
              </w:rPr>
              <w:t xml:space="preserve"> </w:t>
            </w:r>
            <w:r w:rsidR="00BE3086">
              <w:rPr>
                <w:rFonts w:cstheme="minorHAnsi"/>
                <w:sz w:val="21"/>
                <w:szCs w:val="21"/>
              </w:rPr>
              <w:t>f</w:t>
            </w:r>
            <w:r w:rsidRPr="0017254D">
              <w:rPr>
                <w:rFonts w:cstheme="minorHAnsi"/>
                <w:sz w:val="21"/>
                <w:szCs w:val="21"/>
              </w:rPr>
              <w:t>unds</w:t>
            </w:r>
            <w:r w:rsidR="00D8285C">
              <w:rPr>
                <w:rFonts w:cstheme="minorHAnsi"/>
                <w:sz w:val="21"/>
                <w:szCs w:val="21"/>
              </w:rPr>
              <w:t>.</w:t>
            </w:r>
            <w:r w:rsidRPr="0017254D">
              <w:rPr>
                <w:rStyle w:val="FootnoteReference"/>
                <w:rFonts w:cstheme="minorHAnsi"/>
                <w:sz w:val="21"/>
                <w:szCs w:val="21"/>
              </w:rPr>
              <w:footnoteReference w:id="5"/>
            </w:r>
          </w:p>
        </w:tc>
        <w:tc>
          <w:tcPr>
            <w:tcW w:w="1887" w:type="dxa"/>
            <w:shd w:val="clear" w:color="auto" w:fill="auto"/>
          </w:tcPr>
          <w:p w14:paraId="5CF50C32" w14:textId="2138CBD0" w:rsidR="007D277A" w:rsidRPr="00206D77" w:rsidRDefault="00CC2A08" w:rsidP="00A51E00">
            <w:pPr>
              <w:rPr>
                <w:rFonts w:cstheme="minorHAnsi"/>
                <w:sz w:val="21"/>
                <w:szCs w:val="21"/>
                <w:highlight w:val="green"/>
              </w:rPr>
            </w:pPr>
            <w:r>
              <w:rPr>
                <w:rFonts w:cstheme="minorHAnsi"/>
                <w:sz w:val="21"/>
                <w:szCs w:val="21"/>
              </w:rPr>
              <w:t>$ 125,000.00</w:t>
            </w:r>
          </w:p>
        </w:tc>
        <w:tc>
          <w:tcPr>
            <w:tcW w:w="1440" w:type="dxa"/>
            <w:shd w:val="clear" w:color="auto" w:fill="7F7F7F" w:themeFill="text1" w:themeFillTint="80"/>
          </w:tcPr>
          <w:p w14:paraId="223F472E" w14:textId="77777777" w:rsidR="007D277A" w:rsidRPr="00206D77" w:rsidRDefault="007D277A" w:rsidP="00A51E00">
            <w:pPr>
              <w:rPr>
                <w:rFonts w:cstheme="minorHAnsi"/>
                <w:sz w:val="21"/>
                <w:szCs w:val="21"/>
              </w:rPr>
            </w:pPr>
          </w:p>
        </w:tc>
        <w:tc>
          <w:tcPr>
            <w:tcW w:w="1440" w:type="dxa"/>
            <w:shd w:val="clear" w:color="auto" w:fill="7F7F7F" w:themeFill="text1" w:themeFillTint="80"/>
          </w:tcPr>
          <w:p w14:paraId="3A87E297" w14:textId="77777777" w:rsidR="007D277A" w:rsidRPr="00206D77" w:rsidRDefault="007D277A" w:rsidP="00A51E00">
            <w:pPr>
              <w:rPr>
                <w:rFonts w:cstheme="minorHAnsi"/>
                <w:sz w:val="21"/>
                <w:szCs w:val="21"/>
              </w:rPr>
            </w:pPr>
          </w:p>
        </w:tc>
        <w:tc>
          <w:tcPr>
            <w:tcW w:w="3516" w:type="dxa"/>
          </w:tcPr>
          <w:p w14:paraId="3FE1C9E2" w14:textId="6EC15330" w:rsidR="007D277A" w:rsidRPr="00206D77" w:rsidRDefault="00406306" w:rsidP="00A51E00">
            <w:pPr>
              <w:rPr>
                <w:rFonts w:cstheme="minorHAnsi"/>
                <w:sz w:val="21"/>
                <w:szCs w:val="21"/>
              </w:rPr>
            </w:pPr>
            <w:proofErr w:type="spellStart"/>
            <w:r>
              <w:rPr>
                <w:rFonts w:cstheme="minorHAnsi"/>
                <w:sz w:val="21"/>
                <w:szCs w:val="21"/>
              </w:rPr>
              <w:t>eqwe</w:t>
            </w:r>
            <w:proofErr w:type="spellEnd"/>
          </w:p>
        </w:tc>
      </w:tr>
      <w:tr w:rsidR="009D7786" w:rsidRPr="00B0429C" w14:paraId="5A596293" w14:textId="77777777" w:rsidTr="00D377C8">
        <w:trPr>
          <w:trHeight w:val="720"/>
        </w:trPr>
        <w:tc>
          <w:tcPr>
            <w:tcW w:w="6117" w:type="dxa"/>
          </w:tcPr>
          <w:p w14:paraId="7E3A2C9D" w14:textId="7D32CA56" w:rsidR="009D7786" w:rsidRDefault="009D7786" w:rsidP="009D7786">
            <w:pPr>
              <w:rPr>
                <w:rFonts w:cstheme="minorHAnsi"/>
                <w:b/>
                <w:bCs/>
                <w:sz w:val="21"/>
                <w:szCs w:val="21"/>
              </w:rPr>
            </w:pPr>
            <w:r w:rsidRPr="0017254D">
              <w:rPr>
                <w:rFonts w:cstheme="minorHAnsi"/>
                <w:sz w:val="21"/>
                <w:szCs w:val="21"/>
              </w:rPr>
              <w:t xml:space="preserve">Other Uses of </w:t>
            </w:r>
            <w:r>
              <w:rPr>
                <w:rFonts w:cstheme="minorHAnsi"/>
                <w:sz w:val="21"/>
                <w:szCs w:val="21"/>
              </w:rPr>
              <w:t>(a)(2) or (a)(3) funds, if applicable.</w:t>
            </w:r>
            <w:r w:rsidRPr="0017254D">
              <w:rPr>
                <w:rStyle w:val="FootnoteReference"/>
                <w:rFonts w:cstheme="minorHAnsi"/>
                <w:sz w:val="21"/>
                <w:szCs w:val="21"/>
              </w:rPr>
              <w:footnoteReference w:id="6"/>
            </w:r>
          </w:p>
        </w:tc>
        <w:tc>
          <w:tcPr>
            <w:tcW w:w="1887" w:type="dxa"/>
            <w:shd w:val="clear" w:color="auto" w:fill="7F7F7F" w:themeFill="text1" w:themeFillTint="80"/>
          </w:tcPr>
          <w:p w14:paraId="18CE8F27" w14:textId="77777777" w:rsidR="009D7786" w:rsidRPr="00206D77" w:rsidRDefault="009D7786" w:rsidP="009D7786">
            <w:pPr>
              <w:rPr>
                <w:rFonts w:cstheme="minorHAnsi"/>
                <w:sz w:val="21"/>
                <w:szCs w:val="21"/>
                <w:highlight w:val="green"/>
              </w:rPr>
            </w:pPr>
          </w:p>
        </w:tc>
        <w:tc>
          <w:tcPr>
            <w:tcW w:w="1440" w:type="dxa"/>
          </w:tcPr>
          <w:p w14:paraId="4756986B" w14:textId="69A43124" w:rsidR="009D7786" w:rsidRPr="00206D77" w:rsidRDefault="009D7786" w:rsidP="009D7786">
            <w:pPr>
              <w:rPr>
                <w:rFonts w:cstheme="minorHAnsi"/>
                <w:sz w:val="21"/>
                <w:szCs w:val="21"/>
              </w:rPr>
            </w:pPr>
            <w:r w:rsidRPr="00F9622D">
              <w:rPr>
                <w:sz w:val="21"/>
                <w:szCs w:val="21"/>
              </w:rPr>
              <w:t>$0.0</w:t>
            </w:r>
          </w:p>
        </w:tc>
        <w:tc>
          <w:tcPr>
            <w:tcW w:w="1440" w:type="dxa"/>
          </w:tcPr>
          <w:p w14:paraId="60222520" w14:textId="5AFE191A" w:rsidR="009D7786" w:rsidRPr="00206D77" w:rsidRDefault="009D7786" w:rsidP="009D7786">
            <w:pPr>
              <w:rPr>
                <w:rFonts w:cstheme="minorHAnsi"/>
                <w:sz w:val="21"/>
                <w:szCs w:val="21"/>
              </w:rPr>
            </w:pPr>
            <w:r w:rsidRPr="00744109">
              <w:rPr>
                <w:sz w:val="21"/>
                <w:szCs w:val="21"/>
              </w:rPr>
              <w:t>$0.0</w:t>
            </w:r>
          </w:p>
        </w:tc>
        <w:tc>
          <w:tcPr>
            <w:tcW w:w="3516" w:type="dxa"/>
          </w:tcPr>
          <w:p w14:paraId="18F717D1" w14:textId="77777777" w:rsidR="009D7786" w:rsidRPr="00206D77" w:rsidRDefault="009D7786" w:rsidP="009D7786">
            <w:pPr>
              <w:rPr>
                <w:rFonts w:cstheme="minorHAnsi"/>
                <w:sz w:val="21"/>
                <w:szCs w:val="21"/>
              </w:rPr>
            </w:pPr>
          </w:p>
        </w:tc>
      </w:tr>
      <w:tr w:rsidR="009D7786" w:rsidRPr="00B0429C" w14:paraId="05617E1D" w14:textId="77777777" w:rsidTr="004D4A3F">
        <w:trPr>
          <w:trHeight w:val="350"/>
        </w:trPr>
        <w:tc>
          <w:tcPr>
            <w:tcW w:w="6117" w:type="dxa"/>
          </w:tcPr>
          <w:p w14:paraId="3F1A5243" w14:textId="71BE2C52" w:rsidR="009D7786" w:rsidRPr="0017254D" w:rsidRDefault="009D7786" w:rsidP="009D7786">
            <w:pPr>
              <w:rPr>
                <w:rFonts w:cstheme="minorHAnsi"/>
                <w:b/>
                <w:bCs/>
                <w:sz w:val="21"/>
                <w:szCs w:val="21"/>
              </w:rPr>
            </w:pPr>
            <w:r>
              <w:rPr>
                <w:rFonts w:cstheme="minorHAnsi"/>
                <w:b/>
                <w:bCs/>
                <w:sz w:val="21"/>
                <w:szCs w:val="21"/>
              </w:rPr>
              <w:t>Quarterly Expenditures for each Program</w:t>
            </w:r>
          </w:p>
        </w:tc>
        <w:tc>
          <w:tcPr>
            <w:tcW w:w="1887" w:type="dxa"/>
            <w:shd w:val="clear" w:color="auto" w:fill="auto"/>
          </w:tcPr>
          <w:p w14:paraId="6FD2A69C" w14:textId="21D63425" w:rsidR="009D7786" w:rsidRPr="00206D77" w:rsidRDefault="009D7786" w:rsidP="009D7786">
            <w:pPr>
              <w:rPr>
                <w:rFonts w:cstheme="minorHAnsi"/>
                <w:b/>
                <w:bCs/>
                <w:sz w:val="21"/>
                <w:szCs w:val="21"/>
                <w:highlight w:val="green"/>
              </w:rPr>
            </w:pPr>
            <w:r>
              <w:rPr>
                <w:rFonts w:cstheme="minorHAnsi"/>
                <w:sz w:val="21"/>
                <w:szCs w:val="21"/>
              </w:rPr>
              <w:t>$ 125,000.00</w:t>
            </w:r>
          </w:p>
        </w:tc>
        <w:tc>
          <w:tcPr>
            <w:tcW w:w="1440" w:type="dxa"/>
          </w:tcPr>
          <w:p w14:paraId="713D332E" w14:textId="5CD40AAF" w:rsidR="009D7786" w:rsidRPr="00206D77" w:rsidRDefault="009D7786" w:rsidP="009D7786">
            <w:pPr>
              <w:rPr>
                <w:rFonts w:cstheme="minorHAnsi"/>
                <w:b/>
                <w:bCs/>
                <w:sz w:val="21"/>
                <w:szCs w:val="21"/>
              </w:rPr>
            </w:pPr>
            <w:r w:rsidRPr="00F9622D">
              <w:rPr>
                <w:sz w:val="21"/>
                <w:szCs w:val="21"/>
              </w:rPr>
              <w:t>$0.0</w:t>
            </w:r>
          </w:p>
        </w:tc>
        <w:tc>
          <w:tcPr>
            <w:tcW w:w="1440" w:type="dxa"/>
          </w:tcPr>
          <w:p w14:paraId="1FC8414E" w14:textId="4DAABC88" w:rsidR="009D7786" w:rsidRPr="00206D77" w:rsidRDefault="009D7786" w:rsidP="009D7786">
            <w:pPr>
              <w:rPr>
                <w:rFonts w:cstheme="minorHAnsi"/>
                <w:b/>
                <w:bCs/>
                <w:sz w:val="21"/>
                <w:szCs w:val="21"/>
              </w:rPr>
            </w:pPr>
            <w:r w:rsidRPr="00744109">
              <w:rPr>
                <w:sz w:val="21"/>
                <w:szCs w:val="21"/>
              </w:rPr>
              <w:t>$0.0</w:t>
            </w:r>
          </w:p>
        </w:tc>
        <w:tc>
          <w:tcPr>
            <w:tcW w:w="3516" w:type="dxa"/>
            <w:shd w:val="clear" w:color="auto" w:fill="7F7F7F" w:themeFill="text1" w:themeFillTint="80"/>
          </w:tcPr>
          <w:p w14:paraId="7F4E9971" w14:textId="0A0C954C" w:rsidR="009D7786" w:rsidRPr="00206D77" w:rsidRDefault="009D7786" w:rsidP="009D7786">
            <w:pPr>
              <w:rPr>
                <w:rFonts w:cstheme="minorHAnsi"/>
                <w:sz w:val="21"/>
                <w:szCs w:val="21"/>
              </w:rPr>
            </w:pPr>
          </w:p>
        </w:tc>
      </w:tr>
      <w:tr w:rsidR="009D7786" w:rsidRPr="00B0429C" w14:paraId="353B87B4" w14:textId="77777777" w:rsidTr="004D4A3F">
        <w:trPr>
          <w:trHeight w:val="350"/>
        </w:trPr>
        <w:tc>
          <w:tcPr>
            <w:tcW w:w="6117" w:type="dxa"/>
          </w:tcPr>
          <w:p w14:paraId="0FFAA1EE" w14:textId="50636930" w:rsidR="009D7786" w:rsidRPr="0017254D" w:rsidDel="00217655" w:rsidRDefault="009D7786" w:rsidP="009D7786">
            <w:pPr>
              <w:rPr>
                <w:rFonts w:cstheme="minorHAnsi"/>
                <w:b/>
                <w:bCs/>
                <w:sz w:val="21"/>
                <w:szCs w:val="21"/>
              </w:rPr>
            </w:pPr>
            <w:r w:rsidRPr="0017254D">
              <w:rPr>
                <w:rFonts w:cstheme="minorHAnsi"/>
                <w:b/>
                <w:bCs/>
                <w:sz w:val="21"/>
                <w:szCs w:val="21"/>
              </w:rPr>
              <w:t>Total</w:t>
            </w:r>
            <w:r>
              <w:rPr>
                <w:rFonts w:cstheme="minorHAnsi"/>
                <w:b/>
                <w:bCs/>
                <w:sz w:val="21"/>
                <w:szCs w:val="21"/>
              </w:rPr>
              <w:t xml:space="preserve"> of Quarterly Expenditures</w:t>
            </w:r>
          </w:p>
        </w:tc>
        <w:tc>
          <w:tcPr>
            <w:tcW w:w="8283" w:type="dxa"/>
            <w:gridSpan w:val="4"/>
            <w:shd w:val="clear" w:color="auto" w:fill="auto"/>
          </w:tcPr>
          <w:p w14:paraId="50E9D274" w14:textId="6246B614" w:rsidR="009D7786" w:rsidRPr="00616126" w:rsidRDefault="009D7786" w:rsidP="009D7786">
            <w:pPr>
              <w:rPr>
                <w:rFonts w:cstheme="minorHAnsi"/>
                <w:b/>
                <w:bCs/>
                <w:sz w:val="21"/>
                <w:szCs w:val="21"/>
              </w:rPr>
            </w:pPr>
            <w:r>
              <w:rPr>
                <w:rFonts w:cstheme="minorHAnsi"/>
                <w:sz w:val="21"/>
                <w:szCs w:val="21"/>
              </w:rPr>
              <w:t>$ 125,000.00</w:t>
            </w:r>
          </w:p>
        </w:tc>
      </w:tr>
    </w:tbl>
    <w:p w14:paraId="3490C622" w14:textId="2AE691C4" w:rsidR="003E1C31" w:rsidRPr="001F229A" w:rsidRDefault="003E1C31" w:rsidP="00486E78">
      <w:pPr>
        <w:tabs>
          <w:tab w:val="left" w:pos="720"/>
        </w:tabs>
      </w:pPr>
      <w:r w:rsidRPr="001F229A">
        <w:rPr>
          <w:b/>
          <w:bCs/>
        </w:rPr>
        <w:t>Form Instructions</w:t>
      </w:r>
    </w:p>
    <w:p w14:paraId="3D37715B" w14:textId="256A7C53" w:rsidR="003E098F" w:rsidRPr="003E098F" w:rsidRDefault="003E098F" w:rsidP="00486E78">
      <w:pPr>
        <w:tabs>
          <w:tab w:val="left" w:pos="720"/>
        </w:tabs>
      </w:pPr>
      <w:r w:rsidRPr="00CE53E6">
        <w:rPr>
          <w:i/>
          <w:iCs/>
          <w:u w:val="single"/>
        </w:rPr>
        <w:t>Completing the Form</w:t>
      </w:r>
      <w:r w:rsidRPr="0036276F">
        <w:t>:</w:t>
      </w:r>
      <w:r>
        <w:rPr>
          <w:i/>
          <w:iCs/>
        </w:rPr>
        <w:t xml:space="preserve"> </w:t>
      </w:r>
      <w:r w:rsidRPr="001F229A">
        <w:t xml:space="preserve">On each form, fill out the </w:t>
      </w:r>
      <w:r w:rsidR="00B36228" w:rsidRPr="001F229A">
        <w:t>institution of higher education (IHE or institution)</w:t>
      </w:r>
      <w:r w:rsidRPr="001F229A">
        <w:t xml:space="preserve"> name, the date of the report, the appropriate quarter the report covers (</w:t>
      </w:r>
      <w:r>
        <w:t xml:space="preserve">September 30, December 31, </w:t>
      </w:r>
      <w:r w:rsidRPr="001F229A">
        <w:t>March 31, June 30), the total amount of funds awarded by the Department</w:t>
      </w:r>
      <w:r>
        <w:t xml:space="preserve"> (including reserve funds if awarded)</w:t>
      </w:r>
      <w:r w:rsidRPr="001F229A">
        <w:t>,</w:t>
      </w:r>
      <w:r>
        <w:t xml:space="preserve"> and check the box if the report is a “final report</w:t>
      </w:r>
      <w:r w:rsidR="009C2A1A">
        <w:t>.”</w:t>
      </w:r>
      <w:r>
        <w:t xml:space="preserve"> </w:t>
      </w:r>
      <w:r w:rsidRPr="001F229A">
        <w:t xml:space="preserve">In the chart, </w:t>
      </w:r>
      <w:r w:rsidR="008D0128">
        <w:t>an</w:t>
      </w:r>
      <w:r w:rsidR="00B36228">
        <w:t xml:space="preserve"> </w:t>
      </w:r>
      <w:r w:rsidR="00715FF8">
        <w:t>institution</w:t>
      </w:r>
      <w:r w:rsidR="008D0128">
        <w:t xml:space="preserve"> </w:t>
      </w:r>
      <w:r w:rsidRPr="001F229A">
        <w:t>must specify the amount of expended</w:t>
      </w:r>
      <w:r w:rsidRPr="001F229A">
        <w:rPr>
          <w:i/>
          <w:iCs/>
        </w:rPr>
        <w:t xml:space="preserve"> </w:t>
      </w:r>
      <w:r w:rsidRPr="001F229A">
        <w:t xml:space="preserve">CARES Act funds for each funding category: Sections 18004(a)(1) Institutional Portion, 18004(a)(2), and 18004(a)(3), </w:t>
      </w:r>
      <w:r>
        <w:t>if applicable</w:t>
      </w:r>
      <w:r w:rsidRPr="001F229A">
        <w:t>.</w:t>
      </w:r>
      <w:r>
        <w:t xml:space="preserve"> Section 18004(a)(2) funds includes CFDAs </w:t>
      </w:r>
      <w:r w:rsidRPr="006043F7">
        <w:t>84.425J</w:t>
      </w:r>
      <w:r>
        <w:t xml:space="preserve"> (</w:t>
      </w:r>
      <w:r w:rsidRPr="00E80AD1">
        <w:t>Historically Black Colleges and Universities (HBCUs)</w:t>
      </w:r>
      <w:r>
        <w:t xml:space="preserve">), </w:t>
      </w:r>
      <w:r w:rsidRPr="006043F7">
        <w:t>84.425K</w:t>
      </w:r>
      <w:r>
        <w:t xml:space="preserve"> </w:t>
      </w:r>
      <w:r w:rsidR="00437E5B">
        <w:t>(</w:t>
      </w:r>
      <w:r w:rsidRPr="00E80AD1">
        <w:t>Tribally Controlled Colleges and Universities (TCCUs)</w:t>
      </w:r>
      <w:r w:rsidR="00437E5B">
        <w:t>)</w:t>
      </w:r>
      <w:r>
        <w:t xml:space="preserve">, </w:t>
      </w:r>
      <w:r w:rsidRPr="006043F7">
        <w:t>84.425L</w:t>
      </w:r>
      <w:r w:rsidR="00437E5B">
        <w:t xml:space="preserve"> (</w:t>
      </w:r>
      <w:r w:rsidR="00437E5B" w:rsidRPr="00437E5B">
        <w:t>Minority Serving Institutions (MSIs)</w:t>
      </w:r>
      <w:r w:rsidR="00437E5B">
        <w:t>)</w:t>
      </w:r>
      <w:r>
        <w:t xml:space="preserve">, </w:t>
      </w:r>
      <w:r w:rsidRPr="006043F7">
        <w:t>84.425M</w:t>
      </w:r>
      <w:r w:rsidRPr="00417CFD">
        <w:t xml:space="preserve"> </w:t>
      </w:r>
      <w:r w:rsidR="00BA41A1">
        <w:t>(</w:t>
      </w:r>
      <w:r w:rsidR="00BA41A1" w:rsidRPr="00BA41A1">
        <w:t>Strengthening Institutions Program (SIP)</w:t>
      </w:r>
      <w:r w:rsidR="00BA41A1">
        <w:t>)</w:t>
      </w:r>
      <w:r w:rsidR="007F1242">
        <w:t>; Section 18004(a)(3) funds</w:t>
      </w:r>
      <w:r w:rsidR="00B3661C">
        <w:t xml:space="preserve"> </w:t>
      </w:r>
      <w:r w:rsidR="002B2947">
        <w:t>are</w:t>
      </w:r>
      <w:r w:rsidR="00B3661C">
        <w:t xml:space="preserve"> for</w:t>
      </w:r>
      <w:r w:rsidR="007F1242">
        <w:t xml:space="preserve"> CFDA </w:t>
      </w:r>
      <w:r w:rsidR="007F1242" w:rsidRPr="007F1242">
        <w:t>84.425N</w:t>
      </w:r>
      <w:r w:rsidR="007F1242">
        <w:t xml:space="preserve"> (</w:t>
      </w:r>
      <w:r w:rsidR="002F523E" w:rsidRPr="002F523E">
        <w:t>Fund for the Improvement of Postsecondary Education (FIPSE) Formula Grant</w:t>
      </w:r>
      <w:r w:rsidR="002F523E">
        <w:t>)</w:t>
      </w:r>
      <w:r w:rsidR="00BA41A1">
        <w:t xml:space="preserve">. </w:t>
      </w:r>
      <w:r>
        <w:t xml:space="preserve">Each category is deliberately broad and may not capture specific grant program requirements. </w:t>
      </w:r>
      <w:r w:rsidRPr="001F229A">
        <w:t xml:space="preserve">Explanatory footnotes </w:t>
      </w:r>
      <w:r>
        <w:t xml:space="preserve">help </w:t>
      </w:r>
      <w:r w:rsidRPr="001F229A">
        <w:t>clarify certain reporting categories.</w:t>
      </w:r>
      <w:r>
        <w:t xml:space="preserve"> </w:t>
      </w:r>
      <w:r w:rsidRPr="00336B00">
        <w:t>While some items in the chart are blocked out, please note that the blocking of such items is consistent with Department guidance and FAQs and is not definitive.</w:t>
      </w:r>
      <w:r>
        <w:t xml:space="preserve"> P</w:t>
      </w:r>
      <w:r w:rsidRPr="001F229A">
        <w:t xml:space="preserve">rovide </w:t>
      </w:r>
      <w:r>
        <w:t xml:space="preserve">brief </w:t>
      </w:r>
      <w:r w:rsidRPr="001F229A">
        <w:t xml:space="preserve">explanatory notes for how funds were expended, including the title and brief description of each project or activity </w:t>
      </w:r>
      <w:r>
        <w:t>in which funds were expended</w:t>
      </w:r>
      <w:r w:rsidRPr="001F229A">
        <w:t>.</w:t>
      </w:r>
      <w:r>
        <w:t xml:space="preserve"> Do not include personally identifiable information (PII).</w:t>
      </w:r>
      <w:r w:rsidRPr="001F229A">
        <w:t xml:space="preserve"> Calculate the amount of the Section 18004(a)(1) Institutional Portion (referred to as “(a)(1)</w:t>
      </w:r>
      <w:r>
        <w:t xml:space="preserve"> institutional</w:t>
      </w:r>
      <w:r w:rsidRPr="001F229A">
        <w:t xml:space="preserve">” in the chart), </w:t>
      </w:r>
      <w:r>
        <w:t xml:space="preserve">Section </w:t>
      </w:r>
      <w:r w:rsidRPr="001F229A">
        <w:t xml:space="preserve">18004(a)(2) (referred to as “(a)(2)” in the chart), and </w:t>
      </w:r>
      <w:r>
        <w:t xml:space="preserve">Section </w:t>
      </w:r>
      <w:r w:rsidRPr="001F229A">
        <w:t>18004(a)(3) (referred to as “(a)(3)” in the chart) funds in the “Quarterly Expenditures for each Program” row, and the grand total of all three in the “</w:t>
      </w:r>
      <w:r w:rsidRPr="001F229A">
        <w:rPr>
          <w:rFonts w:cstheme="minorHAnsi"/>
        </w:rPr>
        <w:t>Total of Quarterly Expenditures</w:t>
      </w:r>
      <w:r w:rsidRPr="001F229A">
        <w:t>” row. Blank responses are considered $0 for that category</w:t>
      </w:r>
      <w:r>
        <w:t xml:space="preserve"> or column. Round expenditures to the nearest dollar.</w:t>
      </w:r>
    </w:p>
    <w:p w14:paraId="641C8EEF" w14:textId="6CFF959D" w:rsidR="00A51473" w:rsidRDefault="00374A45" w:rsidP="00486E78">
      <w:pPr>
        <w:tabs>
          <w:tab w:val="left" w:pos="720"/>
        </w:tabs>
      </w:pPr>
      <w:r w:rsidRPr="00CE53E6">
        <w:rPr>
          <w:i/>
          <w:iCs/>
          <w:u w:val="single"/>
        </w:rPr>
        <w:t>Posting</w:t>
      </w:r>
      <w:r w:rsidR="006374F9" w:rsidRPr="00CE53E6">
        <w:rPr>
          <w:i/>
          <w:iCs/>
          <w:u w:val="single"/>
        </w:rPr>
        <w:t xml:space="preserve"> the Form</w:t>
      </w:r>
      <w:r w:rsidRPr="0036276F">
        <w:t>:</w:t>
      </w:r>
      <w:r>
        <w:rPr>
          <w:i/>
          <w:iCs/>
        </w:rPr>
        <w:t xml:space="preserve"> </w:t>
      </w:r>
      <w:r w:rsidR="003E1C31" w:rsidRPr="001F229A">
        <w:t xml:space="preserve">This form must be conspicuously posted </w:t>
      </w:r>
      <w:r w:rsidR="00A80DFB">
        <w:t xml:space="preserve">on </w:t>
      </w:r>
      <w:r w:rsidR="003E1C31" w:rsidRPr="001F229A">
        <w:t xml:space="preserve">the </w:t>
      </w:r>
      <w:r w:rsidR="008D0128">
        <w:t xml:space="preserve">institution’s </w:t>
      </w:r>
      <w:r w:rsidR="003E1C31" w:rsidRPr="001F229A">
        <w:t xml:space="preserve">primary website </w:t>
      </w:r>
      <w:r w:rsidR="00BF5EBC">
        <w:t>on the same page</w:t>
      </w:r>
      <w:r w:rsidR="003E1C31" w:rsidRPr="001F229A">
        <w:t xml:space="preserve"> the reports of the </w:t>
      </w:r>
      <w:r w:rsidR="008B04A8" w:rsidRPr="001F229A">
        <w:t>IHE</w:t>
      </w:r>
      <w:r w:rsidR="003E1C31" w:rsidRPr="001F229A">
        <w:t xml:space="preserve">’s activities as to the emergency financial aid grants to students made with funds from the </w:t>
      </w:r>
      <w:r w:rsidR="008E5858" w:rsidRPr="001F229A">
        <w:t>IHE</w:t>
      </w:r>
      <w:r w:rsidR="003E1C31" w:rsidRPr="001F229A">
        <w:t xml:space="preserve">’s allocation under </w:t>
      </w:r>
      <w:r w:rsidR="00392C04">
        <w:t>S</w:t>
      </w:r>
      <w:r w:rsidR="003E1C31" w:rsidRPr="001F229A">
        <w:t>ection 18004(a)(1) of the CARES Act (Student Aid Portion)</w:t>
      </w:r>
      <w:r w:rsidR="00173662">
        <w:t xml:space="preserve"> </w:t>
      </w:r>
      <w:r w:rsidR="003E1C31" w:rsidRPr="001F229A">
        <w:t xml:space="preserve">are posted. </w:t>
      </w:r>
      <w:r w:rsidR="003425A6">
        <w:t xml:space="preserve">It may be posted </w:t>
      </w:r>
      <w:r w:rsidR="00796A1D">
        <w:t>in</w:t>
      </w:r>
      <w:r w:rsidR="00EC4369">
        <w:t xml:space="preserve"> an </w:t>
      </w:r>
      <w:r w:rsidR="00C439A7">
        <w:t>HTML</w:t>
      </w:r>
      <w:r w:rsidR="00EC4369">
        <w:t xml:space="preserve"> webpage</w:t>
      </w:r>
      <w:r w:rsidR="00796A1D">
        <w:t xml:space="preserve"> format </w:t>
      </w:r>
      <w:r w:rsidR="003425A6">
        <w:t xml:space="preserve">or as a link to a PDF. </w:t>
      </w:r>
      <w:r w:rsidR="003E1C31" w:rsidRPr="001F229A">
        <w:t xml:space="preserve">A new </w:t>
      </w:r>
      <w:r w:rsidR="001F065E">
        <w:t xml:space="preserve">separate </w:t>
      </w:r>
      <w:r w:rsidR="003E1C31" w:rsidRPr="001F229A">
        <w:t xml:space="preserve">form must be posted </w:t>
      </w:r>
      <w:r w:rsidR="004F6A6B">
        <w:t>covering</w:t>
      </w:r>
      <w:r w:rsidR="003E1C31" w:rsidRPr="001F229A">
        <w:t xml:space="preserve"> each quarterly reporting period (</w:t>
      </w:r>
      <w:r w:rsidR="00F5788D">
        <w:t>September 30</w:t>
      </w:r>
      <w:r w:rsidR="00244823">
        <w:t xml:space="preserve">, December 31, </w:t>
      </w:r>
      <w:r w:rsidR="003E1C31" w:rsidRPr="001F229A">
        <w:t>March 31, June 30), concluding after</w:t>
      </w:r>
      <w:r w:rsidR="00244823">
        <w:t xml:space="preserve"> either</w:t>
      </w:r>
      <w:r w:rsidR="000E5D7A">
        <w:t xml:space="preserve"> (1) </w:t>
      </w:r>
      <w:r w:rsidR="00173E2A">
        <w:t xml:space="preserve">posting </w:t>
      </w:r>
      <w:r w:rsidR="003E1C31" w:rsidRPr="001F229A">
        <w:t>the quarterly report ending September 30, 2022</w:t>
      </w:r>
      <w:r w:rsidR="00173E2A">
        <w:t xml:space="preserve"> or (2) when an institution has expended and liquidated all (a)(1) </w:t>
      </w:r>
      <w:r w:rsidR="00A15674">
        <w:t>I</w:t>
      </w:r>
      <w:r w:rsidR="00173E2A">
        <w:t>nstitutional</w:t>
      </w:r>
      <w:r w:rsidR="00A15674">
        <w:t xml:space="preserve"> Portion</w:t>
      </w:r>
      <w:r w:rsidR="00173E2A">
        <w:t>, (a)(2), and (a)(3) funds and checks the “final report</w:t>
      </w:r>
      <w:r w:rsidR="00E37A71">
        <w:t>” box</w:t>
      </w:r>
      <w:r w:rsidR="003E1C31" w:rsidRPr="001F229A">
        <w:t xml:space="preserve">. </w:t>
      </w:r>
      <w:r w:rsidR="00F90116">
        <w:t>I</w:t>
      </w:r>
      <w:r w:rsidR="00F90116" w:rsidRPr="001F229A">
        <w:t>HEs must post this quarterly report form no later than 10 days after the end of each calendar quarter (October 10, January 10, April 10, July 10)</w:t>
      </w:r>
      <w:r w:rsidR="00E25E9E">
        <w:t xml:space="preserve"> apart from the first report, which is due October 30, 2020</w:t>
      </w:r>
      <w:r w:rsidR="00A038E4">
        <w:t xml:space="preserve">. </w:t>
      </w:r>
      <w:r w:rsidR="003E1C31" w:rsidRPr="001F229A">
        <w:t xml:space="preserve">For the first report using this form, institutions must provide their </w:t>
      </w:r>
      <w:r w:rsidR="0060190F" w:rsidRPr="0060190F">
        <w:t>cumulative</w:t>
      </w:r>
      <w:r w:rsidR="00A038E4">
        <w:t xml:space="preserve"> </w:t>
      </w:r>
      <w:r w:rsidR="003E1C31" w:rsidRPr="001F229A">
        <w:t>expenditures from the date of their first HEERF award through September 30, 2020</w:t>
      </w:r>
      <w:r w:rsidR="00E25E9E">
        <w:t>.</w:t>
      </w:r>
      <w:r w:rsidR="00E37A71">
        <w:t xml:space="preserve"> </w:t>
      </w:r>
      <w:r w:rsidR="2C08E868" w:rsidRPr="001F229A">
        <w:t>Each</w:t>
      </w:r>
      <w:r w:rsidR="0060190F">
        <w:t xml:space="preserve"> quarterly</w:t>
      </w:r>
      <w:r w:rsidR="2C08E868" w:rsidRPr="001F229A">
        <w:t xml:space="preserve"> report</w:t>
      </w:r>
      <w:r w:rsidR="00F90116">
        <w:t xml:space="preserve"> </w:t>
      </w:r>
      <w:r w:rsidR="4167B167" w:rsidRPr="001F229A">
        <w:t>must</w:t>
      </w:r>
      <w:r w:rsidR="2C08E868" w:rsidRPr="001F229A">
        <w:t xml:space="preserve"> </w:t>
      </w:r>
      <w:r w:rsidR="0060190F">
        <w:t xml:space="preserve">be separately </w:t>
      </w:r>
      <w:r w:rsidR="2C08E868" w:rsidRPr="001F229A">
        <w:t xml:space="preserve">maintained on </w:t>
      </w:r>
      <w:r w:rsidR="008250DB">
        <w:t>an</w:t>
      </w:r>
      <w:r w:rsidR="2C08E868" w:rsidRPr="001F229A">
        <w:t xml:space="preserve"> </w:t>
      </w:r>
      <w:r w:rsidR="009A7859" w:rsidRPr="001F229A">
        <w:t>IHE’s</w:t>
      </w:r>
      <w:r w:rsidR="2C08E868" w:rsidRPr="001F229A">
        <w:t xml:space="preserve"> </w:t>
      </w:r>
      <w:r w:rsidR="00A80DFB">
        <w:t xml:space="preserve">website </w:t>
      </w:r>
      <w:r w:rsidR="003425A6">
        <w:t xml:space="preserve">or in a PDF document linked directly </w:t>
      </w:r>
      <w:r w:rsidR="006618EA">
        <w:t>from</w:t>
      </w:r>
      <w:r w:rsidR="003425A6">
        <w:t xml:space="preserve"> the </w:t>
      </w:r>
      <w:r w:rsidR="009C7292">
        <w:t xml:space="preserve">IHE’s </w:t>
      </w:r>
      <w:r w:rsidR="003425A6">
        <w:t>CARES Act reporting webpage</w:t>
      </w:r>
      <w:r w:rsidR="00824ACD">
        <w:t>. Reports must be maintained</w:t>
      </w:r>
      <w:r w:rsidR="006618EA">
        <w:t xml:space="preserve"> for at least three years after the</w:t>
      </w:r>
      <w:r w:rsidR="00314EF3">
        <w:t xml:space="preserve"> submission of the final report per 2 CFR </w:t>
      </w:r>
      <w:r w:rsidR="00314EF3" w:rsidRPr="00314EF3">
        <w:t>§ 200.333</w:t>
      </w:r>
      <w:r w:rsidR="00614E62" w:rsidRPr="001F229A">
        <w:t>.</w:t>
      </w:r>
      <w:r w:rsidR="00800843">
        <w:t xml:space="preserve"> Any changes or updates after </w:t>
      </w:r>
      <w:r w:rsidR="008F5B64">
        <w:t xml:space="preserve">initial </w:t>
      </w:r>
      <w:r w:rsidR="00800843">
        <w:t xml:space="preserve">posting must be conspicuously </w:t>
      </w:r>
      <w:r w:rsidR="004F2CA8">
        <w:t xml:space="preserve">noted </w:t>
      </w:r>
      <w:r w:rsidR="00012300">
        <w:t xml:space="preserve">after initial posting </w:t>
      </w:r>
      <w:r w:rsidR="004F2CA8">
        <w:t xml:space="preserve">and the date </w:t>
      </w:r>
      <w:r w:rsidR="000D1815">
        <w:t>of</w:t>
      </w:r>
      <w:r w:rsidR="004F2CA8">
        <w:t xml:space="preserve"> </w:t>
      </w:r>
      <w:r w:rsidR="000D1815">
        <w:t xml:space="preserve">the </w:t>
      </w:r>
      <w:r w:rsidR="004F2CA8">
        <w:t>change must be noted i</w:t>
      </w:r>
      <w:r w:rsidR="008F5B64">
        <w:t>n the “Date of Report” line.</w:t>
      </w:r>
    </w:p>
    <w:p w14:paraId="4C12A57F" w14:textId="1AC6A8E6" w:rsidR="00524A13" w:rsidRPr="00524A13" w:rsidRDefault="00524A13" w:rsidP="00486E78">
      <w:pPr>
        <w:tabs>
          <w:tab w:val="left" w:pos="720"/>
        </w:tabs>
        <w:rPr>
          <w:b/>
          <w:bCs/>
        </w:rPr>
      </w:pPr>
      <w:r w:rsidRPr="00524A13">
        <w:rPr>
          <w:b/>
          <w:bCs/>
        </w:rPr>
        <w:t>Paperwork Burden Statement</w:t>
      </w:r>
    </w:p>
    <w:p w14:paraId="57F01CFC" w14:textId="65CA4BC4" w:rsidR="00524A13" w:rsidRPr="00524A13" w:rsidRDefault="00524A13" w:rsidP="00486E78">
      <w:pPr>
        <w:tabs>
          <w:tab w:val="left" w:pos="720"/>
        </w:tabs>
      </w:pPr>
      <w:r w:rsidRPr="00871B8C">
        <w:t>According to the Paperwork Reduction Act of 1995</w:t>
      </w:r>
      <w:r>
        <w:t xml:space="preserve"> (PRA)</w:t>
      </w:r>
      <w:r w:rsidRPr="00871B8C">
        <w:t>, no persons are required to respond to a collection of information unless such collection displays a valid OMB control number.</w:t>
      </w:r>
      <w:r w:rsidR="00173662">
        <w:t xml:space="preserve"> </w:t>
      </w:r>
      <w:r w:rsidRPr="00871B8C">
        <w:t xml:space="preserve">The valid OMB control number for this information collection is </w:t>
      </w:r>
      <w:r w:rsidR="006F5F59" w:rsidRPr="006F5F59">
        <w:t>1840-0849</w:t>
      </w:r>
      <w:r w:rsidRPr="00871B8C">
        <w:t>.</w:t>
      </w:r>
      <w:r w:rsidR="00173662">
        <w:t xml:space="preserve"> </w:t>
      </w:r>
      <w:r w:rsidRPr="00871B8C">
        <w:t xml:space="preserve">Public reporting burden for this collection of information is estimated to average </w:t>
      </w:r>
      <w:r w:rsidR="00D96C1E">
        <w:t>2 hours p</w:t>
      </w:r>
      <w:r w:rsidRPr="00871B8C">
        <w:t>er response, including time for reviewing instructions, searching existing data sources, gathering and maintaining the data needed, and completing and reviewing the collection of information.</w:t>
      </w:r>
      <w:r w:rsidR="00173662">
        <w:t xml:space="preserve"> </w:t>
      </w:r>
      <w:r>
        <w:t>Under the PRA, participants are required</w:t>
      </w:r>
      <w:r w:rsidRPr="00871B8C">
        <w:t xml:space="preserve"> to respond to this collection to obtain or retain benefit.</w:t>
      </w:r>
      <w:r w:rsidR="00173662">
        <w:t xml:space="preserve"> </w:t>
      </w:r>
      <w:r w:rsidRPr="00871B8C">
        <w:t>If you have any comments concerning the accuracy of the time estimate</w:t>
      </w:r>
      <w:r>
        <w:t xml:space="preserve"> or</w:t>
      </w:r>
      <w:r w:rsidRPr="00871B8C">
        <w:t xml:space="preserve"> suggestions for improving this individual collection, or if you have comments or concerns regarding the status of your individual form, application</w:t>
      </w:r>
      <w:r>
        <w:t>,</w:t>
      </w:r>
      <w:r w:rsidRPr="00871B8C">
        <w:t xml:space="preserve"> or survey, please contact: Jack Cox, </w:t>
      </w:r>
      <w:r>
        <w:t xml:space="preserve">U.S. Department of Education, </w:t>
      </w:r>
      <w:r w:rsidRPr="00871B8C">
        <w:t>400 Maryland Avenue, SW, Washington, DC 20202.</w:t>
      </w:r>
    </w:p>
    <w:sectPr w:rsidR="00524A13" w:rsidRPr="00524A13" w:rsidSect="00E340C7">
      <w:headerReference w:type="even" r:id="rId7"/>
      <w:headerReference w:type="default" r:id="rId8"/>
      <w:footerReference w:type="default" r:id="rId9"/>
      <w:headerReference w:type="firs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69B6B" w14:textId="77777777" w:rsidR="00913B87" w:rsidRDefault="00913B87" w:rsidP="004F7FDE">
      <w:pPr>
        <w:spacing w:after="0" w:line="240" w:lineRule="auto"/>
      </w:pPr>
      <w:r>
        <w:separator/>
      </w:r>
    </w:p>
  </w:endnote>
  <w:endnote w:type="continuationSeparator" w:id="0">
    <w:p w14:paraId="6717BA24" w14:textId="77777777" w:rsidR="00913B87" w:rsidRDefault="00913B87" w:rsidP="004F7FDE">
      <w:pPr>
        <w:spacing w:after="0" w:line="240" w:lineRule="auto"/>
      </w:pPr>
      <w:r>
        <w:continuationSeparator/>
      </w:r>
    </w:p>
  </w:endnote>
  <w:endnote w:type="continuationNotice" w:id="1">
    <w:p w14:paraId="67109E54" w14:textId="77777777" w:rsidR="00913B87" w:rsidRDefault="00913B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22DC" w14:textId="41722720" w:rsidR="004F7FDE" w:rsidRDefault="00263224">
    <w:pPr>
      <w:pStyle w:val="Footer"/>
      <w:jc w:val="center"/>
    </w:pPr>
    <w:r>
      <w:rPr>
        <w:noProof/>
      </w:rPr>
      <mc:AlternateContent>
        <mc:Choice Requires="wps">
          <w:drawing>
            <wp:anchor distT="45720" distB="45720" distL="114300" distR="114300" simplePos="0" relativeHeight="251658240" behindDoc="0" locked="0" layoutInCell="1" allowOverlap="1" wp14:anchorId="5353DC3A" wp14:editId="496751C9">
              <wp:simplePos x="0" y="0"/>
              <wp:positionH relativeFrom="margin">
                <wp:posOffset>7975600</wp:posOffset>
              </wp:positionH>
              <wp:positionV relativeFrom="paragraph">
                <wp:posOffset>-57785</wp:posOffset>
              </wp:positionV>
              <wp:extent cx="1168400" cy="273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73050"/>
                      </a:xfrm>
                      <a:prstGeom prst="rect">
                        <a:avLst/>
                      </a:prstGeom>
                      <a:solidFill>
                        <a:srgbClr val="FFFFFF"/>
                      </a:solidFill>
                      <a:ln w="9525">
                        <a:noFill/>
                        <a:miter lim="800000"/>
                        <a:headEnd/>
                        <a:tailEnd/>
                      </a:ln>
                    </wps:spPr>
                    <wps:txbx>
                      <w:txbxContent>
                        <w:p w14:paraId="4B855059" w14:textId="0CC88A7E" w:rsidR="00263224" w:rsidRDefault="004C5268" w:rsidP="004C2E65">
                          <w:pPr>
                            <w:jc w:val="right"/>
                          </w:pPr>
                          <w:r>
                            <w:rPr>
                              <w:noProof/>
                            </w:rPr>
                            <w:t xml:space="preserve">Version </w:t>
                          </w:r>
                          <w:r w:rsidR="00566948">
                            <w:rPr>
                              <w:noProof/>
                            </w:rPr>
                            <w:t>1.</w:t>
                          </w:r>
                          <w:r w:rsidR="00206D77">
                            <w:rPr>
                              <w:noProof/>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3DC3A" id="_x0000_t202" coordsize="21600,21600" o:spt="202" path="m,l,21600r21600,l21600,xe">
              <v:stroke joinstyle="miter"/>
              <v:path gradientshapeok="t" o:connecttype="rect"/>
            </v:shapetype>
            <v:shape id="Text Box 2" o:spid="_x0000_s1026" type="#_x0000_t202" style="position:absolute;left:0;text-align:left;margin-left:628pt;margin-top:-4.55pt;width:92pt;height:21.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" stroked="f">
              <v:textbox>
                <w:txbxContent>
                  <w:p w14:paraId="4B855059" w14:textId="0CC88A7E" w:rsidR="00263224" w:rsidRDefault="004C5268" w:rsidP="004C2E65">
                    <w:pPr>
                      <w:jc w:val="right"/>
                    </w:pPr>
                    <w:r>
                      <w:rPr>
                        <w:noProof/>
                      </w:rPr>
                      <w:t xml:space="preserve">Version </w:t>
                    </w:r>
                    <w:r w:rsidR="00566948">
                      <w:rPr>
                        <w:noProof/>
                      </w:rPr>
                      <w:t>1.</w:t>
                    </w:r>
                    <w:r w:rsidR="00206D77">
                      <w:rPr>
                        <w:noProof/>
                      </w:rPr>
                      <w:t>3</w:t>
                    </w:r>
                  </w:p>
                </w:txbxContent>
              </v:textbox>
              <w10:wrap anchorx="margin"/>
            </v:shape>
          </w:pict>
        </mc:Fallback>
      </mc:AlternateContent>
    </w:r>
    <w:sdt>
      <w:sdtPr>
        <w:id w:val="-1270699276"/>
        <w:docPartObj>
          <w:docPartGallery w:val="Page Numbers (Bottom of Page)"/>
          <w:docPartUnique/>
        </w:docPartObj>
      </w:sdtPr>
      <w:sdtEndPr>
        <w:rPr>
          <w:noProof/>
        </w:rPr>
      </w:sdtEndPr>
      <w:sdtContent>
        <w:r w:rsidR="004F7FDE">
          <w:fldChar w:fldCharType="begin"/>
        </w:r>
        <w:r w:rsidR="004F7FDE">
          <w:instrText xml:space="preserve"> PAGE   \* MERGEFORMAT </w:instrText>
        </w:r>
        <w:r w:rsidR="004F7FDE">
          <w:fldChar w:fldCharType="separate"/>
        </w:r>
        <w:r w:rsidR="004F7FDE">
          <w:rPr>
            <w:noProof/>
          </w:rPr>
          <w:t>2</w:t>
        </w:r>
        <w:r w:rsidR="004F7FD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2502" w14:textId="77777777" w:rsidR="00913B87" w:rsidRPr="00766F4C" w:rsidRDefault="00913B87" w:rsidP="004F7FDE">
      <w:pPr>
        <w:spacing w:after="0" w:line="240" w:lineRule="auto"/>
        <w:rPr>
          <w:sz w:val="20"/>
        </w:rPr>
      </w:pPr>
      <w:r w:rsidRPr="00766F4C">
        <w:rPr>
          <w:sz w:val="20"/>
        </w:rPr>
        <w:separator/>
      </w:r>
    </w:p>
  </w:footnote>
  <w:footnote w:type="continuationSeparator" w:id="0">
    <w:p w14:paraId="504E5365" w14:textId="77777777" w:rsidR="00913B87" w:rsidRDefault="00913B87" w:rsidP="004F7FDE">
      <w:pPr>
        <w:spacing w:after="0" w:line="240" w:lineRule="auto"/>
      </w:pPr>
      <w:r>
        <w:continuationSeparator/>
      </w:r>
    </w:p>
  </w:footnote>
  <w:footnote w:type="continuationNotice" w:id="1">
    <w:p w14:paraId="687CF575" w14:textId="77777777" w:rsidR="00913B87" w:rsidRDefault="00913B87">
      <w:pPr>
        <w:spacing w:after="0" w:line="240" w:lineRule="auto"/>
      </w:pPr>
    </w:p>
  </w:footnote>
  <w:footnote w:id="2">
    <w:p w14:paraId="603CA6EC" w14:textId="15EFCC0C" w:rsidR="00DD060D" w:rsidRDefault="00DD060D" w:rsidP="00DD060D">
      <w:pPr>
        <w:pStyle w:val="FootnoteText"/>
      </w:pPr>
      <w:r>
        <w:rPr>
          <w:rStyle w:val="FootnoteReference"/>
        </w:rPr>
        <w:footnoteRef/>
      </w:r>
      <w:r>
        <w:t xml:space="preserve"> T</w:t>
      </w:r>
      <w:r w:rsidRPr="00A236DF">
        <w:t>o</w:t>
      </w:r>
      <w:r>
        <w:t xml:space="preserve"> support any element of</w:t>
      </w:r>
      <w:r w:rsidRPr="00A236DF">
        <w:t xml:space="preserve"> the cost of attendance (as defined under Section 472 of the Higher Education Act</w:t>
      </w:r>
      <w:r>
        <w:t xml:space="preserve"> of 1965, as amended (HEA)</w:t>
      </w:r>
      <w:r w:rsidRPr="00A236DF">
        <w:t>)</w:t>
      </w:r>
      <w:r>
        <w:t xml:space="preserve"> per </w:t>
      </w:r>
      <w:r w:rsidR="005F39F6">
        <w:t>Section 18004(c) of the CARES Act and</w:t>
      </w:r>
      <w:r>
        <w:t xml:space="preserve"> the </w:t>
      </w:r>
      <w:hyperlink r:id="rId1" w:history="1">
        <w:r w:rsidRPr="00823313">
          <w:rPr>
            <w:rStyle w:val="Hyperlink"/>
          </w:rPr>
          <w:t>Interim Final Rule</w:t>
        </w:r>
      </w:hyperlink>
      <w:r>
        <w:t xml:space="preserve"> published in the </w:t>
      </w:r>
      <w:r>
        <w:rPr>
          <w:i/>
          <w:iCs/>
        </w:rPr>
        <w:t>Federal Register</w:t>
      </w:r>
      <w:r>
        <w:t xml:space="preserve"> </w:t>
      </w:r>
      <w:r w:rsidR="00B30AA0">
        <w:t xml:space="preserve">on </w:t>
      </w:r>
      <w:r>
        <w:t>June 17, 2020 (</w:t>
      </w:r>
      <w:r w:rsidRPr="00343FC6">
        <w:t>85 FR 36494</w:t>
      </w:r>
      <w:r>
        <w:t xml:space="preserve">). Community Colleges in California, all public institutions in Washington State, and all institutions in Massachusetts have different requirements due to recent U.S. District Court actions. Please discuss with legal counsel. </w:t>
      </w:r>
      <w:hyperlink r:id="rId2" w:history="1">
        <w:r w:rsidRPr="00283A50">
          <w:rPr>
            <w:rStyle w:val="Hyperlink"/>
          </w:rPr>
          <w:t>HEERF litigation updates can be found here</w:t>
        </w:r>
      </w:hyperlink>
      <w:r w:rsidR="00283A50">
        <w:t>.</w:t>
      </w:r>
    </w:p>
  </w:footnote>
  <w:footnote w:id="3">
    <w:p w14:paraId="6E0A9C5D" w14:textId="77777777" w:rsidR="00CC2A08" w:rsidRDefault="00CC2A08" w:rsidP="00CC2A08">
      <w:pPr>
        <w:pStyle w:val="FootnoteText"/>
      </w:pPr>
      <w:r>
        <w:rPr>
          <w:rStyle w:val="FootnoteReference"/>
        </w:rPr>
        <w:footnoteRef/>
      </w:r>
      <w:r>
        <w:t xml:space="preserve"> </w:t>
      </w:r>
      <w:r>
        <w:rPr>
          <w:rFonts w:cstheme="minorHAnsi"/>
        </w:rPr>
        <w:t>I</w:t>
      </w:r>
      <w:r w:rsidRPr="00E45522">
        <w:rPr>
          <w:rFonts w:cstheme="minorHAnsi"/>
        </w:rPr>
        <w:t>ncluding</w:t>
      </w:r>
      <w:r>
        <w:rPr>
          <w:rFonts w:cstheme="minorHAnsi"/>
        </w:rPr>
        <w:t xml:space="preserve"> costs or expenses related to the</w:t>
      </w:r>
      <w:r w:rsidRPr="00E45522">
        <w:rPr>
          <w:rFonts w:cstheme="minorHAnsi"/>
        </w:rPr>
        <w:t xml:space="preserve"> disinfecting and cleaning of dorms and other campus facilities</w:t>
      </w:r>
      <w:r>
        <w:rPr>
          <w:rFonts w:cstheme="minorHAnsi"/>
        </w:rPr>
        <w:t>, purchases of personal protective equipment (PPE), purchases of cleaning supplies, adding personnel to increase the frequency of cleaning, the reconfiguration of facilities to promote social distancing, etc.</w:t>
      </w:r>
    </w:p>
  </w:footnote>
  <w:footnote w:id="4">
    <w:p w14:paraId="59C84504" w14:textId="5B757C01" w:rsidR="00CC2A08" w:rsidRPr="007D277A" w:rsidRDefault="00CC2A08" w:rsidP="00CC2A08">
      <w:pPr>
        <w:spacing w:after="0" w:line="240" w:lineRule="auto"/>
        <w:rPr>
          <w:rFonts w:cstheme="minorHAnsi"/>
          <w:sz w:val="20"/>
          <w:szCs w:val="20"/>
        </w:rPr>
      </w:pPr>
      <w:r>
        <w:rPr>
          <w:rStyle w:val="FootnoteReference"/>
        </w:rPr>
        <w:footnoteRef/>
      </w:r>
      <w:r>
        <w:t xml:space="preserve"> </w:t>
      </w:r>
      <w:r>
        <w:rPr>
          <w:rFonts w:cstheme="minorHAnsi"/>
          <w:sz w:val="20"/>
          <w:szCs w:val="20"/>
        </w:rPr>
        <w:t>Including continuance of pay (salary and benefits) to workers who would otherwise support the work or activities of ancillary enterprises (e.g., bookstore workers, foodservice workers, venue staff, etc.).</w:t>
      </w:r>
    </w:p>
  </w:footnote>
  <w:footnote w:id="5">
    <w:p w14:paraId="5C20B2EC" w14:textId="63DD2CB5" w:rsidR="007D277A" w:rsidRPr="00D32ED3" w:rsidRDefault="007D277A" w:rsidP="005F3BF8">
      <w:pPr>
        <w:pStyle w:val="FootnoteText"/>
        <w:rPr>
          <w:rFonts w:cstheme="minorHAnsi"/>
        </w:rPr>
      </w:pPr>
      <w:r>
        <w:rPr>
          <w:rStyle w:val="FootnoteReference"/>
        </w:rPr>
        <w:footnoteRef/>
      </w:r>
      <w:r>
        <w:t xml:space="preserve"> </w:t>
      </w:r>
      <w:r>
        <w:rPr>
          <w:rFonts w:cstheme="minorHAnsi"/>
        </w:rPr>
        <w:t xml:space="preserve">Please </w:t>
      </w:r>
      <w:r w:rsidR="00876182">
        <w:rPr>
          <w:rFonts w:cstheme="minorHAnsi"/>
        </w:rPr>
        <w:t xml:space="preserve">post </w:t>
      </w:r>
      <w:r w:rsidR="00094DF2">
        <w:rPr>
          <w:rFonts w:cstheme="minorHAnsi"/>
        </w:rPr>
        <w:t>additional</w:t>
      </w:r>
      <w:r>
        <w:rPr>
          <w:rFonts w:cstheme="minorHAnsi"/>
        </w:rPr>
        <w:t xml:space="preserve"> documentation</w:t>
      </w:r>
      <w:r w:rsidR="00C0663C">
        <w:rPr>
          <w:rFonts w:cstheme="minorHAnsi"/>
        </w:rPr>
        <w:t xml:space="preserve"> as appropriate</w:t>
      </w:r>
      <w:r>
        <w:rPr>
          <w:rFonts w:cstheme="minorHAnsi"/>
        </w:rPr>
        <w:t xml:space="preserve"> and</w:t>
      </w:r>
      <w:r w:rsidR="00094DF2">
        <w:rPr>
          <w:rFonts w:cstheme="minorHAnsi"/>
        </w:rPr>
        <w:t xml:space="preserve"> briefly</w:t>
      </w:r>
      <w:r>
        <w:rPr>
          <w:rFonts w:cstheme="minorHAnsi"/>
        </w:rPr>
        <w:t xml:space="preserve"> explain </w:t>
      </w:r>
      <w:r w:rsidR="00094DF2">
        <w:rPr>
          <w:rFonts w:cstheme="minorHAnsi"/>
        </w:rPr>
        <w:t>in the “Explanatory Notes” section.</w:t>
      </w:r>
      <w:r w:rsidR="005045F5">
        <w:rPr>
          <w:rFonts w:cstheme="minorHAnsi"/>
        </w:rPr>
        <w:t xml:space="preserve"> </w:t>
      </w:r>
      <w:r w:rsidR="00F25F4E">
        <w:rPr>
          <w:rFonts w:cstheme="minorHAnsi"/>
        </w:rPr>
        <w:t>Please note th</w:t>
      </w:r>
      <w:r w:rsidR="00127C80">
        <w:rPr>
          <w:rFonts w:cstheme="minorHAnsi"/>
        </w:rPr>
        <w:t xml:space="preserve">at </w:t>
      </w:r>
      <w:r w:rsidR="00F25F4E">
        <w:rPr>
          <w:rFonts w:cstheme="minorHAnsi"/>
        </w:rPr>
        <w:t xml:space="preserve">costs </w:t>
      </w:r>
      <w:r w:rsidR="005F3BF8">
        <w:rPr>
          <w:rFonts w:cstheme="minorHAnsi"/>
        </w:rPr>
        <w:t xml:space="preserve">for Section 18004(a)(1) Institutional Portion funds </w:t>
      </w:r>
      <w:r w:rsidR="00F25F4E">
        <w:rPr>
          <w:rFonts w:cstheme="minorHAnsi"/>
        </w:rPr>
        <w:t xml:space="preserve">may </w:t>
      </w:r>
      <w:r w:rsidR="00F25F4E" w:rsidRPr="005045F5">
        <w:rPr>
          <w:rFonts w:cstheme="minorHAnsi"/>
        </w:rPr>
        <w:t xml:space="preserve">only be used “to cover any costs associated with significant changes to the delivery of instruction due to the </w:t>
      </w:r>
      <w:r w:rsidR="005F3BF8">
        <w:rPr>
          <w:rFonts w:cstheme="minorHAnsi"/>
        </w:rPr>
        <w:t xml:space="preserve">coronavirus, </w:t>
      </w:r>
      <w:r w:rsidR="005F3BF8" w:rsidRPr="005F3BF8">
        <w:rPr>
          <w:rFonts w:cstheme="minorHAnsi"/>
        </w:rPr>
        <w:t>so long as such costs do not include payment to contractors for the provision of pre-enrollment recruitment activities;</w:t>
      </w:r>
      <w:r w:rsidR="005F3BF8">
        <w:rPr>
          <w:rFonts w:cstheme="minorHAnsi"/>
        </w:rPr>
        <w:t xml:space="preserve"> </w:t>
      </w:r>
      <w:r w:rsidR="005F3BF8" w:rsidRPr="005F3BF8">
        <w:rPr>
          <w:rFonts w:cstheme="minorHAnsi"/>
        </w:rPr>
        <w:t>endowments; or capital outlays associated with facilities related</w:t>
      </w:r>
      <w:r w:rsidR="005F3BF8">
        <w:rPr>
          <w:rFonts w:cstheme="minorHAnsi"/>
        </w:rPr>
        <w:t xml:space="preserve"> </w:t>
      </w:r>
      <w:r w:rsidR="005F3BF8" w:rsidRPr="005F3BF8">
        <w:rPr>
          <w:rFonts w:cstheme="minorHAnsi"/>
        </w:rPr>
        <w:t>to athletics, sectarian instruction, or religious worship.</w:t>
      </w:r>
      <w:r w:rsidR="00F25F4E">
        <w:rPr>
          <w:rFonts w:cstheme="minorHAnsi"/>
        </w:rPr>
        <w:t>”</w:t>
      </w:r>
    </w:p>
  </w:footnote>
  <w:footnote w:id="6">
    <w:p w14:paraId="542D8AE1" w14:textId="13EE906A" w:rsidR="009D7786" w:rsidRDefault="009D7786" w:rsidP="00A206BF">
      <w:pPr>
        <w:pStyle w:val="FootnoteText"/>
      </w:pPr>
      <w:r>
        <w:rPr>
          <w:rStyle w:val="FootnoteReference"/>
        </w:rPr>
        <w:footnoteRef/>
      </w:r>
      <w:r>
        <w:t xml:space="preserve"> </w:t>
      </w:r>
      <w:r>
        <w:rPr>
          <w:rFonts w:cstheme="minorHAnsi"/>
        </w:rPr>
        <w:t xml:space="preserve">Please post additional documentation as appropriate and briefly explain in the “Explanatory Notes” section. Please note that costs for Sections 18004(a)(2) and (a)(3) funds may </w:t>
      </w:r>
      <w:r w:rsidRPr="005045F5">
        <w:rPr>
          <w:rFonts w:cstheme="minorHAnsi"/>
        </w:rPr>
        <w:t xml:space="preserve">only be </w:t>
      </w:r>
      <w:r w:rsidRPr="00D20A6D">
        <w:rPr>
          <w:rFonts w:cstheme="minorHAnsi"/>
        </w:rPr>
        <w:t xml:space="preserve">used </w:t>
      </w:r>
      <w:r>
        <w:rPr>
          <w:rFonts w:cstheme="minorHAnsi"/>
        </w:rPr>
        <w:t>“</w:t>
      </w:r>
      <w:r w:rsidRPr="00D20A6D">
        <w:rPr>
          <w:rFonts w:cstheme="minorHAnsi"/>
        </w:rPr>
        <w:t>to defray expenses, including lost revenue, reimbursement for expenses already incurred, technology costs associated with a transition to distance education, faculty and staff trainings, payroll incurred by institutions of higher education and for grants to students for any component of the student’s cost of attendance (as defined under section 472 of the HEA), including food, housing, course materials, technology, health care, and child care.”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B42C8" w14:textId="13C051D7" w:rsidR="002224E7" w:rsidRDefault="00913B87">
    <w:pPr>
      <w:pStyle w:val="Header"/>
    </w:pPr>
    <w:r>
      <w:rPr>
        <w:noProof/>
      </w:rPr>
      <w:pict w14:anchorId="29CF6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2172" o:spid="_x0000_s2050" type="#_x0000_t136" alt="" style="position:absolute;margin-left:0;margin-top:0;width:475.85pt;height:285.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E54EF" w14:textId="70A16A83" w:rsidR="003B219A" w:rsidRDefault="003B219A" w:rsidP="008841FD">
    <w:pPr>
      <w:pStyle w:val="Header"/>
      <w:jc w:val="right"/>
      <w:rPr>
        <w:sz w:val="20"/>
        <w:szCs w:val="20"/>
      </w:rPr>
    </w:pPr>
    <w:r w:rsidRPr="001377A9">
      <w:rPr>
        <w:sz w:val="20"/>
        <w:szCs w:val="20"/>
      </w:rPr>
      <w:t xml:space="preserve">OMB </w:t>
    </w:r>
    <w:r w:rsidR="00DF7B2A">
      <w:rPr>
        <w:sz w:val="20"/>
        <w:szCs w:val="20"/>
      </w:rPr>
      <w:t xml:space="preserve">Control Number </w:t>
    </w:r>
    <w:r w:rsidR="00302E20" w:rsidRPr="00302E20">
      <w:rPr>
        <w:sz w:val="20"/>
        <w:szCs w:val="20"/>
      </w:rPr>
      <w:t>1840-0849</w:t>
    </w:r>
    <w:r w:rsidR="008841FD">
      <w:rPr>
        <w:sz w:val="20"/>
        <w:szCs w:val="20"/>
      </w:rPr>
      <w:t xml:space="preserve"> </w:t>
    </w:r>
    <w:r w:rsidR="008841FD" w:rsidRPr="001377A9">
      <w:rPr>
        <w:sz w:val="20"/>
        <w:szCs w:val="20"/>
      </w:rPr>
      <w:t>Exp</w:t>
    </w:r>
    <w:r w:rsidR="004C5268">
      <w:rPr>
        <w:sz w:val="20"/>
        <w:szCs w:val="20"/>
      </w:rPr>
      <w:t>ires</w:t>
    </w:r>
    <w:r w:rsidR="008841FD" w:rsidRPr="001377A9">
      <w:rPr>
        <w:sz w:val="20"/>
        <w:szCs w:val="20"/>
      </w:rPr>
      <w:t xml:space="preserve"> </w:t>
    </w:r>
    <w:r w:rsidR="004C5268">
      <w:rPr>
        <w:sz w:val="20"/>
        <w:szCs w:val="20"/>
      </w:rPr>
      <w:t>4</w:t>
    </w:r>
    <w:r w:rsidR="008841FD" w:rsidRPr="001377A9">
      <w:rPr>
        <w:sz w:val="20"/>
        <w:szCs w:val="20"/>
      </w:rPr>
      <w:t>/</w:t>
    </w:r>
    <w:r w:rsidR="004C5268">
      <w:rPr>
        <w:sz w:val="20"/>
        <w:szCs w:val="20"/>
      </w:rPr>
      <w:t>30</w:t>
    </w:r>
    <w:r w:rsidR="008841FD" w:rsidRPr="001377A9">
      <w:rPr>
        <w:sz w:val="20"/>
        <w:szCs w:val="20"/>
      </w:rPr>
      <w:t>/</w:t>
    </w:r>
    <w:r w:rsidR="004C5268">
      <w:rPr>
        <w:sz w:val="20"/>
        <w:szCs w:val="20"/>
      </w:rPr>
      <w:t>2021</w:t>
    </w:r>
  </w:p>
  <w:p w14:paraId="614AED7B" w14:textId="77777777" w:rsidR="008841FD" w:rsidRPr="008841FD" w:rsidRDefault="008841FD" w:rsidP="008841FD">
    <w:pPr>
      <w:pStyle w:val="Header"/>
      <w:jc w:val="right"/>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5A87F" w14:textId="6BA4F295" w:rsidR="002224E7" w:rsidRDefault="00913B87">
    <w:pPr>
      <w:pStyle w:val="Header"/>
    </w:pPr>
    <w:r>
      <w:rPr>
        <w:noProof/>
      </w:rPr>
      <w:pict w14:anchorId="3EF582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2171" o:spid="_x0000_s2049" type="#_x0000_t136" alt="" style="position:absolute;margin-left:0;margin-top:0;width:475.85pt;height:285.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12E7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768B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7EE29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1EDD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BC6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8208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449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2C9B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8017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46FF9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removeDateAndTime/>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DE"/>
    <w:rsid w:val="00003566"/>
    <w:rsid w:val="00012300"/>
    <w:rsid w:val="00020BF9"/>
    <w:rsid w:val="00024252"/>
    <w:rsid w:val="00024538"/>
    <w:rsid w:val="0003207D"/>
    <w:rsid w:val="0003651C"/>
    <w:rsid w:val="00036523"/>
    <w:rsid w:val="00036F0C"/>
    <w:rsid w:val="00037277"/>
    <w:rsid w:val="00040B42"/>
    <w:rsid w:val="0004123B"/>
    <w:rsid w:val="00044147"/>
    <w:rsid w:val="0004533A"/>
    <w:rsid w:val="000556BF"/>
    <w:rsid w:val="00061E05"/>
    <w:rsid w:val="000635B8"/>
    <w:rsid w:val="0006528A"/>
    <w:rsid w:val="00066473"/>
    <w:rsid w:val="000702F8"/>
    <w:rsid w:val="00071431"/>
    <w:rsid w:val="0007198F"/>
    <w:rsid w:val="00073D55"/>
    <w:rsid w:val="00073F91"/>
    <w:rsid w:val="000810A6"/>
    <w:rsid w:val="000856F4"/>
    <w:rsid w:val="000919C5"/>
    <w:rsid w:val="00094DF2"/>
    <w:rsid w:val="000967FA"/>
    <w:rsid w:val="000A382C"/>
    <w:rsid w:val="000B52F3"/>
    <w:rsid w:val="000B53B6"/>
    <w:rsid w:val="000C3009"/>
    <w:rsid w:val="000C6A22"/>
    <w:rsid w:val="000D1815"/>
    <w:rsid w:val="000D43B2"/>
    <w:rsid w:val="000E343E"/>
    <w:rsid w:val="000E55AA"/>
    <w:rsid w:val="000E5D7A"/>
    <w:rsid w:val="000F59CF"/>
    <w:rsid w:val="000F5AB7"/>
    <w:rsid w:val="000F6C6C"/>
    <w:rsid w:val="00104D20"/>
    <w:rsid w:val="00114713"/>
    <w:rsid w:val="00117ECE"/>
    <w:rsid w:val="001228D9"/>
    <w:rsid w:val="001249D2"/>
    <w:rsid w:val="00124C8A"/>
    <w:rsid w:val="00127C80"/>
    <w:rsid w:val="00127F7F"/>
    <w:rsid w:val="001414C8"/>
    <w:rsid w:val="001422F8"/>
    <w:rsid w:val="00150C53"/>
    <w:rsid w:val="00154245"/>
    <w:rsid w:val="00155038"/>
    <w:rsid w:val="00157907"/>
    <w:rsid w:val="001707F6"/>
    <w:rsid w:val="001709B9"/>
    <w:rsid w:val="0017254D"/>
    <w:rsid w:val="00173662"/>
    <w:rsid w:val="00173E2A"/>
    <w:rsid w:val="00181A88"/>
    <w:rsid w:val="0018217D"/>
    <w:rsid w:val="00183B59"/>
    <w:rsid w:val="00191DDE"/>
    <w:rsid w:val="0019793B"/>
    <w:rsid w:val="001A09D7"/>
    <w:rsid w:val="001A2C85"/>
    <w:rsid w:val="001A3A31"/>
    <w:rsid w:val="001A58B7"/>
    <w:rsid w:val="001B30AB"/>
    <w:rsid w:val="001B4E2D"/>
    <w:rsid w:val="001C1DD7"/>
    <w:rsid w:val="001C1EA7"/>
    <w:rsid w:val="001C389E"/>
    <w:rsid w:val="001C43D8"/>
    <w:rsid w:val="001D52F1"/>
    <w:rsid w:val="001E2CD9"/>
    <w:rsid w:val="001E766E"/>
    <w:rsid w:val="001F065E"/>
    <w:rsid w:val="001F229A"/>
    <w:rsid w:val="001F3719"/>
    <w:rsid w:val="001F62A2"/>
    <w:rsid w:val="0020297D"/>
    <w:rsid w:val="002036C7"/>
    <w:rsid w:val="00206D77"/>
    <w:rsid w:val="00206F36"/>
    <w:rsid w:val="002105D4"/>
    <w:rsid w:val="00214730"/>
    <w:rsid w:val="00220405"/>
    <w:rsid w:val="0022074B"/>
    <w:rsid w:val="002224E7"/>
    <w:rsid w:val="00224EC8"/>
    <w:rsid w:val="00225075"/>
    <w:rsid w:val="00226E65"/>
    <w:rsid w:val="00227E95"/>
    <w:rsid w:val="00227E9E"/>
    <w:rsid w:val="00240D3F"/>
    <w:rsid w:val="00244823"/>
    <w:rsid w:val="002524F6"/>
    <w:rsid w:val="00253D31"/>
    <w:rsid w:val="00261158"/>
    <w:rsid w:val="00263224"/>
    <w:rsid w:val="00263FE7"/>
    <w:rsid w:val="0026462F"/>
    <w:rsid w:val="0027040E"/>
    <w:rsid w:val="002738FD"/>
    <w:rsid w:val="00280712"/>
    <w:rsid w:val="002831E3"/>
    <w:rsid w:val="00283A50"/>
    <w:rsid w:val="0028672E"/>
    <w:rsid w:val="00290460"/>
    <w:rsid w:val="002964BF"/>
    <w:rsid w:val="002964D5"/>
    <w:rsid w:val="002A00ED"/>
    <w:rsid w:val="002A2F33"/>
    <w:rsid w:val="002A7004"/>
    <w:rsid w:val="002B2947"/>
    <w:rsid w:val="002B417F"/>
    <w:rsid w:val="002C0BAC"/>
    <w:rsid w:val="002C1DCC"/>
    <w:rsid w:val="002C24AC"/>
    <w:rsid w:val="002C25BF"/>
    <w:rsid w:val="002C37F4"/>
    <w:rsid w:val="002C39F6"/>
    <w:rsid w:val="002C4388"/>
    <w:rsid w:val="002C6E94"/>
    <w:rsid w:val="002D18A4"/>
    <w:rsid w:val="002D436F"/>
    <w:rsid w:val="002E61CF"/>
    <w:rsid w:val="002F302C"/>
    <w:rsid w:val="002F523E"/>
    <w:rsid w:val="002F5E1B"/>
    <w:rsid w:val="00302E20"/>
    <w:rsid w:val="00314EF3"/>
    <w:rsid w:val="00314FF6"/>
    <w:rsid w:val="00334251"/>
    <w:rsid w:val="00336B00"/>
    <w:rsid w:val="003404B7"/>
    <w:rsid w:val="00342306"/>
    <w:rsid w:val="003425A6"/>
    <w:rsid w:val="00342E2D"/>
    <w:rsid w:val="003435FE"/>
    <w:rsid w:val="00343FC6"/>
    <w:rsid w:val="0036276F"/>
    <w:rsid w:val="00366E23"/>
    <w:rsid w:val="00374A45"/>
    <w:rsid w:val="003764F9"/>
    <w:rsid w:val="00376C9B"/>
    <w:rsid w:val="0038531C"/>
    <w:rsid w:val="003860CC"/>
    <w:rsid w:val="00386FBC"/>
    <w:rsid w:val="00387DBC"/>
    <w:rsid w:val="00392C04"/>
    <w:rsid w:val="00395B84"/>
    <w:rsid w:val="003967E4"/>
    <w:rsid w:val="00396F8F"/>
    <w:rsid w:val="003A1A20"/>
    <w:rsid w:val="003B219A"/>
    <w:rsid w:val="003B3A97"/>
    <w:rsid w:val="003C3FA2"/>
    <w:rsid w:val="003D3A6E"/>
    <w:rsid w:val="003D3DDC"/>
    <w:rsid w:val="003D7EEE"/>
    <w:rsid w:val="003E098F"/>
    <w:rsid w:val="003E175F"/>
    <w:rsid w:val="003E1C31"/>
    <w:rsid w:val="003E5487"/>
    <w:rsid w:val="003E5908"/>
    <w:rsid w:val="003F152C"/>
    <w:rsid w:val="003F5AC0"/>
    <w:rsid w:val="003F706D"/>
    <w:rsid w:val="003F7ACC"/>
    <w:rsid w:val="00400473"/>
    <w:rsid w:val="00401E56"/>
    <w:rsid w:val="00404AD9"/>
    <w:rsid w:val="00406306"/>
    <w:rsid w:val="00411354"/>
    <w:rsid w:val="00415951"/>
    <w:rsid w:val="00417CFD"/>
    <w:rsid w:val="00422EC1"/>
    <w:rsid w:val="00423663"/>
    <w:rsid w:val="00424E63"/>
    <w:rsid w:val="00425A94"/>
    <w:rsid w:val="004263BA"/>
    <w:rsid w:val="00431DE2"/>
    <w:rsid w:val="00437E5B"/>
    <w:rsid w:val="0044313A"/>
    <w:rsid w:val="00445F82"/>
    <w:rsid w:val="0044678F"/>
    <w:rsid w:val="00446CB5"/>
    <w:rsid w:val="00451ED6"/>
    <w:rsid w:val="00452A3E"/>
    <w:rsid w:val="0046242F"/>
    <w:rsid w:val="0046506E"/>
    <w:rsid w:val="00465600"/>
    <w:rsid w:val="00470BAC"/>
    <w:rsid w:val="004725AF"/>
    <w:rsid w:val="00473152"/>
    <w:rsid w:val="0047335B"/>
    <w:rsid w:val="00473808"/>
    <w:rsid w:val="00473A6F"/>
    <w:rsid w:val="0048354F"/>
    <w:rsid w:val="00486E78"/>
    <w:rsid w:val="00493021"/>
    <w:rsid w:val="00497626"/>
    <w:rsid w:val="004A4A48"/>
    <w:rsid w:val="004B0411"/>
    <w:rsid w:val="004B5BF2"/>
    <w:rsid w:val="004B7DE8"/>
    <w:rsid w:val="004C2E65"/>
    <w:rsid w:val="004C5268"/>
    <w:rsid w:val="004C7B71"/>
    <w:rsid w:val="004D4A3F"/>
    <w:rsid w:val="004D7F79"/>
    <w:rsid w:val="004E01D2"/>
    <w:rsid w:val="004E05BF"/>
    <w:rsid w:val="004E1819"/>
    <w:rsid w:val="004F1855"/>
    <w:rsid w:val="004F2CA8"/>
    <w:rsid w:val="004F31E7"/>
    <w:rsid w:val="004F6A6B"/>
    <w:rsid w:val="004F7FDE"/>
    <w:rsid w:val="005001BD"/>
    <w:rsid w:val="0050374F"/>
    <w:rsid w:val="005038F1"/>
    <w:rsid w:val="005045F5"/>
    <w:rsid w:val="00524A13"/>
    <w:rsid w:val="005258BC"/>
    <w:rsid w:val="005269E6"/>
    <w:rsid w:val="00530C32"/>
    <w:rsid w:val="0053700E"/>
    <w:rsid w:val="0054164B"/>
    <w:rsid w:val="00541CD0"/>
    <w:rsid w:val="00550AE1"/>
    <w:rsid w:val="005614FA"/>
    <w:rsid w:val="005623B9"/>
    <w:rsid w:val="005638CE"/>
    <w:rsid w:val="00565EBC"/>
    <w:rsid w:val="00566948"/>
    <w:rsid w:val="0057157B"/>
    <w:rsid w:val="00577AD2"/>
    <w:rsid w:val="005822E0"/>
    <w:rsid w:val="00582643"/>
    <w:rsid w:val="00584BAF"/>
    <w:rsid w:val="00584CEA"/>
    <w:rsid w:val="0058519C"/>
    <w:rsid w:val="005A1F84"/>
    <w:rsid w:val="005A70D7"/>
    <w:rsid w:val="005A7C76"/>
    <w:rsid w:val="005B323C"/>
    <w:rsid w:val="005B6BFC"/>
    <w:rsid w:val="005C04B8"/>
    <w:rsid w:val="005C43BA"/>
    <w:rsid w:val="005C4429"/>
    <w:rsid w:val="005C46EF"/>
    <w:rsid w:val="005E06ED"/>
    <w:rsid w:val="005F2A9A"/>
    <w:rsid w:val="005F39F6"/>
    <w:rsid w:val="005F3BF8"/>
    <w:rsid w:val="0060182F"/>
    <w:rsid w:val="0060190F"/>
    <w:rsid w:val="00601F0E"/>
    <w:rsid w:val="006043F7"/>
    <w:rsid w:val="006049AC"/>
    <w:rsid w:val="00614E62"/>
    <w:rsid w:val="0061593B"/>
    <w:rsid w:val="00616126"/>
    <w:rsid w:val="00617CC1"/>
    <w:rsid w:val="006251F0"/>
    <w:rsid w:val="0062616E"/>
    <w:rsid w:val="0063218B"/>
    <w:rsid w:val="00634576"/>
    <w:rsid w:val="00635B6D"/>
    <w:rsid w:val="006374F9"/>
    <w:rsid w:val="00637D34"/>
    <w:rsid w:val="006468BC"/>
    <w:rsid w:val="00650C2D"/>
    <w:rsid w:val="00653640"/>
    <w:rsid w:val="0065380A"/>
    <w:rsid w:val="006603DE"/>
    <w:rsid w:val="006618EA"/>
    <w:rsid w:val="00663D2B"/>
    <w:rsid w:val="0066563E"/>
    <w:rsid w:val="00673746"/>
    <w:rsid w:val="0067743A"/>
    <w:rsid w:val="00690F6F"/>
    <w:rsid w:val="00691B6C"/>
    <w:rsid w:val="00693CE6"/>
    <w:rsid w:val="006978A8"/>
    <w:rsid w:val="006A3710"/>
    <w:rsid w:val="006A54E9"/>
    <w:rsid w:val="006C1225"/>
    <w:rsid w:val="006C1296"/>
    <w:rsid w:val="006C1D63"/>
    <w:rsid w:val="006E1A26"/>
    <w:rsid w:val="006E2147"/>
    <w:rsid w:val="006E52B4"/>
    <w:rsid w:val="006F088D"/>
    <w:rsid w:val="006F35B7"/>
    <w:rsid w:val="006F5F59"/>
    <w:rsid w:val="0070154F"/>
    <w:rsid w:val="00702B88"/>
    <w:rsid w:val="0070360A"/>
    <w:rsid w:val="00706579"/>
    <w:rsid w:val="00710A9B"/>
    <w:rsid w:val="007123BD"/>
    <w:rsid w:val="00713593"/>
    <w:rsid w:val="00715FF8"/>
    <w:rsid w:val="00721B14"/>
    <w:rsid w:val="00743EF5"/>
    <w:rsid w:val="00756184"/>
    <w:rsid w:val="007612B2"/>
    <w:rsid w:val="0076316F"/>
    <w:rsid w:val="0076336A"/>
    <w:rsid w:val="00763C1A"/>
    <w:rsid w:val="00766F4C"/>
    <w:rsid w:val="007773AD"/>
    <w:rsid w:val="00784400"/>
    <w:rsid w:val="00796A1D"/>
    <w:rsid w:val="00796B19"/>
    <w:rsid w:val="007C582C"/>
    <w:rsid w:val="007D1DB4"/>
    <w:rsid w:val="007D277A"/>
    <w:rsid w:val="007E7E41"/>
    <w:rsid w:val="007F1242"/>
    <w:rsid w:val="007F7AA4"/>
    <w:rsid w:val="00800843"/>
    <w:rsid w:val="008025EF"/>
    <w:rsid w:val="00806C84"/>
    <w:rsid w:val="008134F1"/>
    <w:rsid w:val="00813854"/>
    <w:rsid w:val="00813CA5"/>
    <w:rsid w:val="00824ACD"/>
    <w:rsid w:val="008250DB"/>
    <w:rsid w:val="00827C93"/>
    <w:rsid w:val="008315FE"/>
    <w:rsid w:val="008352C4"/>
    <w:rsid w:val="0084011A"/>
    <w:rsid w:val="00844D5A"/>
    <w:rsid w:val="00844E33"/>
    <w:rsid w:val="00845A8F"/>
    <w:rsid w:val="00850F18"/>
    <w:rsid w:val="00864395"/>
    <w:rsid w:val="008657A5"/>
    <w:rsid w:val="00875773"/>
    <w:rsid w:val="00875916"/>
    <w:rsid w:val="00876182"/>
    <w:rsid w:val="008841FD"/>
    <w:rsid w:val="008853DF"/>
    <w:rsid w:val="008950D4"/>
    <w:rsid w:val="00897CB9"/>
    <w:rsid w:val="008A636A"/>
    <w:rsid w:val="008A6C26"/>
    <w:rsid w:val="008B04A8"/>
    <w:rsid w:val="008B1308"/>
    <w:rsid w:val="008B4B01"/>
    <w:rsid w:val="008C3946"/>
    <w:rsid w:val="008C5B23"/>
    <w:rsid w:val="008C77F5"/>
    <w:rsid w:val="008D0128"/>
    <w:rsid w:val="008D3C31"/>
    <w:rsid w:val="008D4880"/>
    <w:rsid w:val="008D5840"/>
    <w:rsid w:val="008E085A"/>
    <w:rsid w:val="008E5858"/>
    <w:rsid w:val="008E62F1"/>
    <w:rsid w:val="008E76AF"/>
    <w:rsid w:val="008F029B"/>
    <w:rsid w:val="008F40CA"/>
    <w:rsid w:val="008F5B64"/>
    <w:rsid w:val="008F5E68"/>
    <w:rsid w:val="00904F1C"/>
    <w:rsid w:val="00912DEA"/>
    <w:rsid w:val="00913B87"/>
    <w:rsid w:val="00914B3E"/>
    <w:rsid w:val="00920F9A"/>
    <w:rsid w:val="0092157A"/>
    <w:rsid w:val="009225E7"/>
    <w:rsid w:val="00925B61"/>
    <w:rsid w:val="0092732B"/>
    <w:rsid w:val="00931BB3"/>
    <w:rsid w:val="009330C9"/>
    <w:rsid w:val="00934717"/>
    <w:rsid w:val="0093703E"/>
    <w:rsid w:val="00942101"/>
    <w:rsid w:val="0094343B"/>
    <w:rsid w:val="00945D6C"/>
    <w:rsid w:val="009557A4"/>
    <w:rsid w:val="00961E8B"/>
    <w:rsid w:val="00963892"/>
    <w:rsid w:val="00966133"/>
    <w:rsid w:val="00966797"/>
    <w:rsid w:val="00966D78"/>
    <w:rsid w:val="00971E89"/>
    <w:rsid w:val="0097210F"/>
    <w:rsid w:val="00974A00"/>
    <w:rsid w:val="00980A1C"/>
    <w:rsid w:val="00980F5B"/>
    <w:rsid w:val="009819A4"/>
    <w:rsid w:val="00993C62"/>
    <w:rsid w:val="00994403"/>
    <w:rsid w:val="0099699B"/>
    <w:rsid w:val="009A7859"/>
    <w:rsid w:val="009B04E9"/>
    <w:rsid w:val="009B2233"/>
    <w:rsid w:val="009B393C"/>
    <w:rsid w:val="009B7875"/>
    <w:rsid w:val="009C2A1A"/>
    <w:rsid w:val="009C3FE0"/>
    <w:rsid w:val="009C4474"/>
    <w:rsid w:val="009C4A6A"/>
    <w:rsid w:val="009C7292"/>
    <w:rsid w:val="009D67E6"/>
    <w:rsid w:val="009D7786"/>
    <w:rsid w:val="009E749B"/>
    <w:rsid w:val="009F097E"/>
    <w:rsid w:val="009F0E2E"/>
    <w:rsid w:val="009F4072"/>
    <w:rsid w:val="00A028B7"/>
    <w:rsid w:val="00A038E4"/>
    <w:rsid w:val="00A0456B"/>
    <w:rsid w:val="00A0569D"/>
    <w:rsid w:val="00A0792E"/>
    <w:rsid w:val="00A126DB"/>
    <w:rsid w:val="00A15674"/>
    <w:rsid w:val="00A157AE"/>
    <w:rsid w:val="00A16FC4"/>
    <w:rsid w:val="00A202DC"/>
    <w:rsid w:val="00A206BF"/>
    <w:rsid w:val="00A20975"/>
    <w:rsid w:val="00A33698"/>
    <w:rsid w:val="00A347A0"/>
    <w:rsid w:val="00A374C2"/>
    <w:rsid w:val="00A43088"/>
    <w:rsid w:val="00A51473"/>
    <w:rsid w:val="00A51945"/>
    <w:rsid w:val="00A51E00"/>
    <w:rsid w:val="00A5234A"/>
    <w:rsid w:val="00A61A6B"/>
    <w:rsid w:val="00A66CC7"/>
    <w:rsid w:val="00A733BB"/>
    <w:rsid w:val="00A7638B"/>
    <w:rsid w:val="00A76771"/>
    <w:rsid w:val="00A80DFB"/>
    <w:rsid w:val="00A91C5A"/>
    <w:rsid w:val="00A91EFC"/>
    <w:rsid w:val="00A925E9"/>
    <w:rsid w:val="00A96188"/>
    <w:rsid w:val="00AA1F33"/>
    <w:rsid w:val="00AA2FC9"/>
    <w:rsid w:val="00AB1B2F"/>
    <w:rsid w:val="00AB57C0"/>
    <w:rsid w:val="00AB6A1C"/>
    <w:rsid w:val="00AB6B70"/>
    <w:rsid w:val="00AC14C2"/>
    <w:rsid w:val="00AD0B5C"/>
    <w:rsid w:val="00AD2F1A"/>
    <w:rsid w:val="00AD2FEC"/>
    <w:rsid w:val="00AD5FDA"/>
    <w:rsid w:val="00AE150E"/>
    <w:rsid w:val="00AF4B0D"/>
    <w:rsid w:val="00AF6958"/>
    <w:rsid w:val="00B0264C"/>
    <w:rsid w:val="00B131B8"/>
    <w:rsid w:val="00B15D78"/>
    <w:rsid w:val="00B24E00"/>
    <w:rsid w:val="00B30AA0"/>
    <w:rsid w:val="00B32A47"/>
    <w:rsid w:val="00B36228"/>
    <w:rsid w:val="00B3661C"/>
    <w:rsid w:val="00B446A2"/>
    <w:rsid w:val="00B5695D"/>
    <w:rsid w:val="00B60781"/>
    <w:rsid w:val="00B628C8"/>
    <w:rsid w:val="00B705F2"/>
    <w:rsid w:val="00B82887"/>
    <w:rsid w:val="00B858B4"/>
    <w:rsid w:val="00B935AC"/>
    <w:rsid w:val="00B967CF"/>
    <w:rsid w:val="00BA2237"/>
    <w:rsid w:val="00BA2F58"/>
    <w:rsid w:val="00BA41A1"/>
    <w:rsid w:val="00BB1516"/>
    <w:rsid w:val="00BB3165"/>
    <w:rsid w:val="00BB5654"/>
    <w:rsid w:val="00BC44FD"/>
    <w:rsid w:val="00BC7D2F"/>
    <w:rsid w:val="00BE3086"/>
    <w:rsid w:val="00BE793C"/>
    <w:rsid w:val="00BF0039"/>
    <w:rsid w:val="00BF5EBC"/>
    <w:rsid w:val="00BF7E56"/>
    <w:rsid w:val="00C000BB"/>
    <w:rsid w:val="00C02A1A"/>
    <w:rsid w:val="00C0663C"/>
    <w:rsid w:val="00C06CB5"/>
    <w:rsid w:val="00C07C6A"/>
    <w:rsid w:val="00C10929"/>
    <w:rsid w:val="00C17DB2"/>
    <w:rsid w:val="00C232B8"/>
    <w:rsid w:val="00C24AA9"/>
    <w:rsid w:val="00C2600B"/>
    <w:rsid w:val="00C27857"/>
    <w:rsid w:val="00C36751"/>
    <w:rsid w:val="00C4263C"/>
    <w:rsid w:val="00C432F1"/>
    <w:rsid w:val="00C437EE"/>
    <w:rsid w:val="00C439A7"/>
    <w:rsid w:val="00C46430"/>
    <w:rsid w:val="00C51444"/>
    <w:rsid w:val="00C5559E"/>
    <w:rsid w:val="00C605F8"/>
    <w:rsid w:val="00C65AD3"/>
    <w:rsid w:val="00C73A19"/>
    <w:rsid w:val="00C77E5A"/>
    <w:rsid w:val="00C810E8"/>
    <w:rsid w:val="00C821C7"/>
    <w:rsid w:val="00C87A49"/>
    <w:rsid w:val="00C90359"/>
    <w:rsid w:val="00CA06E9"/>
    <w:rsid w:val="00CA2C4A"/>
    <w:rsid w:val="00CA33D7"/>
    <w:rsid w:val="00CB146E"/>
    <w:rsid w:val="00CB555B"/>
    <w:rsid w:val="00CB65B2"/>
    <w:rsid w:val="00CC1E46"/>
    <w:rsid w:val="00CC2A08"/>
    <w:rsid w:val="00CC403C"/>
    <w:rsid w:val="00CC6127"/>
    <w:rsid w:val="00CD0010"/>
    <w:rsid w:val="00CD4F01"/>
    <w:rsid w:val="00CD6B39"/>
    <w:rsid w:val="00CE28CE"/>
    <w:rsid w:val="00CE53E6"/>
    <w:rsid w:val="00CF67BF"/>
    <w:rsid w:val="00D03230"/>
    <w:rsid w:val="00D06E22"/>
    <w:rsid w:val="00D20A6D"/>
    <w:rsid w:val="00D32ED3"/>
    <w:rsid w:val="00D377C8"/>
    <w:rsid w:val="00D408F9"/>
    <w:rsid w:val="00D45506"/>
    <w:rsid w:val="00D46F47"/>
    <w:rsid w:val="00D52177"/>
    <w:rsid w:val="00D52B77"/>
    <w:rsid w:val="00D52FB2"/>
    <w:rsid w:val="00D562C1"/>
    <w:rsid w:val="00D65E8D"/>
    <w:rsid w:val="00D76EBC"/>
    <w:rsid w:val="00D8285C"/>
    <w:rsid w:val="00D8663E"/>
    <w:rsid w:val="00D875F1"/>
    <w:rsid w:val="00D90EA4"/>
    <w:rsid w:val="00D93F17"/>
    <w:rsid w:val="00D944F7"/>
    <w:rsid w:val="00D94B79"/>
    <w:rsid w:val="00D96C1E"/>
    <w:rsid w:val="00D97817"/>
    <w:rsid w:val="00DA7B81"/>
    <w:rsid w:val="00DB718C"/>
    <w:rsid w:val="00DB73E6"/>
    <w:rsid w:val="00DC2D9F"/>
    <w:rsid w:val="00DD060D"/>
    <w:rsid w:val="00DD5EE3"/>
    <w:rsid w:val="00DD5F03"/>
    <w:rsid w:val="00DD6520"/>
    <w:rsid w:val="00DD6F8E"/>
    <w:rsid w:val="00DE6263"/>
    <w:rsid w:val="00DF2B6F"/>
    <w:rsid w:val="00DF7B2A"/>
    <w:rsid w:val="00E011BA"/>
    <w:rsid w:val="00E0418E"/>
    <w:rsid w:val="00E04AE0"/>
    <w:rsid w:val="00E117B0"/>
    <w:rsid w:val="00E23AA6"/>
    <w:rsid w:val="00E25E9E"/>
    <w:rsid w:val="00E2764D"/>
    <w:rsid w:val="00E340C7"/>
    <w:rsid w:val="00E36840"/>
    <w:rsid w:val="00E37A71"/>
    <w:rsid w:val="00E50C18"/>
    <w:rsid w:val="00E551E0"/>
    <w:rsid w:val="00E5638D"/>
    <w:rsid w:val="00E625C8"/>
    <w:rsid w:val="00E646CD"/>
    <w:rsid w:val="00E652BE"/>
    <w:rsid w:val="00E6573E"/>
    <w:rsid w:val="00E70FBE"/>
    <w:rsid w:val="00E72670"/>
    <w:rsid w:val="00E72A09"/>
    <w:rsid w:val="00E75AD6"/>
    <w:rsid w:val="00E807DB"/>
    <w:rsid w:val="00E80AD1"/>
    <w:rsid w:val="00E81960"/>
    <w:rsid w:val="00E824E4"/>
    <w:rsid w:val="00E829A4"/>
    <w:rsid w:val="00E87C81"/>
    <w:rsid w:val="00E927F5"/>
    <w:rsid w:val="00E952C6"/>
    <w:rsid w:val="00E9575F"/>
    <w:rsid w:val="00EA11FC"/>
    <w:rsid w:val="00EA3FAA"/>
    <w:rsid w:val="00EA5DCA"/>
    <w:rsid w:val="00EB1CF7"/>
    <w:rsid w:val="00EB5654"/>
    <w:rsid w:val="00EB570F"/>
    <w:rsid w:val="00EB6D39"/>
    <w:rsid w:val="00EB7415"/>
    <w:rsid w:val="00EB75BD"/>
    <w:rsid w:val="00EC02E3"/>
    <w:rsid w:val="00EC0EE5"/>
    <w:rsid w:val="00EC4369"/>
    <w:rsid w:val="00EC446C"/>
    <w:rsid w:val="00ED0285"/>
    <w:rsid w:val="00ED1986"/>
    <w:rsid w:val="00EE0C1E"/>
    <w:rsid w:val="00EE21B0"/>
    <w:rsid w:val="00EE4BEF"/>
    <w:rsid w:val="00EE538F"/>
    <w:rsid w:val="00EE6E7F"/>
    <w:rsid w:val="00EF0CFC"/>
    <w:rsid w:val="00EF6778"/>
    <w:rsid w:val="00EF6C05"/>
    <w:rsid w:val="00F01DB2"/>
    <w:rsid w:val="00F049A8"/>
    <w:rsid w:val="00F0543F"/>
    <w:rsid w:val="00F05A33"/>
    <w:rsid w:val="00F13B58"/>
    <w:rsid w:val="00F214F0"/>
    <w:rsid w:val="00F25F4E"/>
    <w:rsid w:val="00F26A7D"/>
    <w:rsid w:val="00F4517C"/>
    <w:rsid w:val="00F46A02"/>
    <w:rsid w:val="00F503DE"/>
    <w:rsid w:val="00F53248"/>
    <w:rsid w:val="00F5505A"/>
    <w:rsid w:val="00F55983"/>
    <w:rsid w:val="00F5788D"/>
    <w:rsid w:val="00F62BD7"/>
    <w:rsid w:val="00F66983"/>
    <w:rsid w:val="00F773EE"/>
    <w:rsid w:val="00F84F60"/>
    <w:rsid w:val="00F857B5"/>
    <w:rsid w:val="00F876D8"/>
    <w:rsid w:val="00F90116"/>
    <w:rsid w:val="00F91759"/>
    <w:rsid w:val="00F94D08"/>
    <w:rsid w:val="00F95BAB"/>
    <w:rsid w:val="00F971C1"/>
    <w:rsid w:val="00FA7FCC"/>
    <w:rsid w:val="00FB0541"/>
    <w:rsid w:val="00FB390A"/>
    <w:rsid w:val="00FC1334"/>
    <w:rsid w:val="00FC3BDF"/>
    <w:rsid w:val="00FD233C"/>
    <w:rsid w:val="00FD66D3"/>
    <w:rsid w:val="00FE6413"/>
    <w:rsid w:val="00FF4872"/>
    <w:rsid w:val="02DF3279"/>
    <w:rsid w:val="0767253A"/>
    <w:rsid w:val="0D3092DF"/>
    <w:rsid w:val="0FCDD15B"/>
    <w:rsid w:val="18FE1161"/>
    <w:rsid w:val="1B7BB5ED"/>
    <w:rsid w:val="1E42C535"/>
    <w:rsid w:val="1EFF0D27"/>
    <w:rsid w:val="202B9C74"/>
    <w:rsid w:val="21022B6D"/>
    <w:rsid w:val="2799CC12"/>
    <w:rsid w:val="291795E9"/>
    <w:rsid w:val="29FC8323"/>
    <w:rsid w:val="2C08E868"/>
    <w:rsid w:val="3C845E95"/>
    <w:rsid w:val="3CF65E83"/>
    <w:rsid w:val="3EABBC84"/>
    <w:rsid w:val="4167B167"/>
    <w:rsid w:val="42335D97"/>
    <w:rsid w:val="45686F3F"/>
    <w:rsid w:val="4569459C"/>
    <w:rsid w:val="47C64F5E"/>
    <w:rsid w:val="48F799B4"/>
    <w:rsid w:val="4B7881E7"/>
    <w:rsid w:val="4F27BF37"/>
    <w:rsid w:val="50FE163A"/>
    <w:rsid w:val="57E76624"/>
    <w:rsid w:val="58B5B303"/>
    <w:rsid w:val="5DFF7CA2"/>
    <w:rsid w:val="617D65C5"/>
    <w:rsid w:val="6339703C"/>
    <w:rsid w:val="64B23F8A"/>
    <w:rsid w:val="65395834"/>
    <w:rsid w:val="66D1CCC7"/>
    <w:rsid w:val="6DC83FA0"/>
    <w:rsid w:val="7850C9F3"/>
    <w:rsid w:val="7BFAE74B"/>
    <w:rsid w:val="7C94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AE1F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FDE"/>
  </w:style>
  <w:style w:type="paragraph" w:styleId="Footer">
    <w:name w:val="footer"/>
    <w:basedOn w:val="Normal"/>
    <w:link w:val="FooterChar"/>
    <w:uiPriority w:val="99"/>
    <w:unhideWhenUsed/>
    <w:rsid w:val="004F7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FDE"/>
  </w:style>
  <w:style w:type="table" w:styleId="TableGrid">
    <w:name w:val="Table Grid"/>
    <w:basedOn w:val="TableNormal"/>
    <w:uiPriority w:val="39"/>
    <w:rsid w:val="004F7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FDE"/>
    <w:rPr>
      <w:color w:val="0000FF"/>
      <w:u w:val="single"/>
    </w:rPr>
  </w:style>
  <w:style w:type="paragraph" w:styleId="FootnoteText">
    <w:name w:val="footnote text"/>
    <w:basedOn w:val="Normal"/>
    <w:link w:val="FootnoteTextChar"/>
    <w:uiPriority w:val="99"/>
    <w:semiHidden/>
    <w:unhideWhenUsed/>
    <w:rsid w:val="004F7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FDE"/>
    <w:rPr>
      <w:sz w:val="20"/>
      <w:szCs w:val="20"/>
    </w:rPr>
  </w:style>
  <w:style w:type="character" w:styleId="FootnoteReference">
    <w:name w:val="footnote reference"/>
    <w:basedOn w:val="DefaultParagraphFont"/>
    <w:uiPriority w:val="99"/>
    <w:semiHidden/>
    <w:unhideWhenUsed/>
    <w:rsid w:val="004F7FDE"/>
    <w:rPr>
      <w:vertAlign w:val="superscript"/>
    </w:rPr>
  </w:style>
  <w:style w:type="paragraph" w:styleId="BodyText">
    <w:name w:val="Body Text"/>
    <w:basedOn w:val="Normal"/>
    <w:link w:val="BodyTextChar"/>
    <w:uiPriority w:val="99"/>
    <w:unhideWhenUsed/>
    <w:rsid w:val="004F7FDE"/>
    <w:pPr>
      <w:jc w:val="center"/>
    </w:pPr>
    <w:rPr>
      <w:rFonts w:cstheme="minorHAnsi"/>
      <w:b/>
      <w:bCs/>
      <w:sz w:val="24"/>
      <w:szCs w:val="24"/>
    </w:rPr>
  </w:style>
  <w:style w:type="character" w:customStyle="1" w:styleId="BodyTextChar">
    <w:name w:val="Body Text Char"/>
    <w:basedOn w:val="DefaultParagraphFont"/>
    <w:link w:val="BodyText"/>
    <w:uiPriority w:val="99"/>
    <w:rsid w:val="004F7FDE"/>
    <w:rPr>
      <w:rFonts w:cstheme="minorHAnsi"/>
      <w:b/>
      <w:bCs/>
      <w:sz w:val="24"/>
      <w:szCs w:val="24"/>
    </w:rPr>
  </w:style>
  <w:style w:type="character" w:styleId="FollowedHyperlink">
    <w:name w:val="FollowedHyperlink"/>
    <w:basedOn w:val="DefaultParagraphFont"/>
    <w:uiPriority w:val="99"/>
    <w:semiHidden/>
    <w:unhideWhenUsed/>
    <w:rsid w:val="00181A88"/>
    <w:rPr>
      <w:color w:val="954F72" w:themeColor="followedHyperlink"/>
      <w:u w:val="single"/>
    </w:rPr>
  </w:style>
  <w:style w:type="character" w:styleId="CommentReference">
    <w:name w:val="annotation reference"/>
    <w:basedOn w:val="DefaultParagraphFont"/>
    <w:uiPriority w:val="99"/>
    <w:semiHidden/>
    <w:unhideWhenUsed/>
    <w:rsid w:val="00E117B0"/>
    <w:rPr>
      <w:sz w:val="16"/>
      <w:szCs w:val="16"/>
    </w:rPr>
  </w:style>
  <w:style w:type="paragraph" w:styleId="CommentText">
    <w:name w:val="annotation text"/>
    <w:basedOn w:val="Normal"/>
    <w:link w:val="CommentTextChar"/>
    <w:uiPriority w:val="99"/>
    <w:semiHidden/>
    <w:unhideWhenUsed/>
    <w:rsid w:val="00E117B0"/>
    <w:pPr>
      <w:spacing w:line="240" w:lineRule="auto"/>
    </w:pPr>
    <w:rPr>
      <w:sz w:val="20"/>
      <w:szCs w:val="20"/>
    </w:rPr>
  </w:style>
  <w:style w:type="character" w:customStyle="1" w:styleId="CommentTextChar">
    <w:name w:val="Comment Text Char"/>
    <w:basedOn w:val="DefaultParagraphFont"/>
    <w:link w:val="CommentText"/>
    <w:uiPriority w:val="99"/>
    <w:semiHidden/>
    <w:rsid w:val="00E117B0"/>
    <w:rPr>
      <w:sz w:val="20"/>
      <w:szCs w:val="20"/>
    </w:rPr>
  </w:style>
  <w:style w:type="paragraph" w:styleId="CommentSubject">
    <w:name w:val="annotation subject"/>
    <w:basedOn w:val="CommentText"/>
    <w:next w:val="CommentText"/>
    <w:link w:val="CommentSubjectChar"/>
    <w:uiPriority w:val="99"/>
    <w:semiHidden/>
    <w:unhideWhenUsed/>
    <w:rsid w:val="00E117B0"/>
    <w:rPr>
      <w:b/>
      <w:bCs/>
    </w:rPr>
  </w:style>
  <w:style w:type="character" w:customStyle="1" w:styleId="CommentSubjectChar">
    <w:name w:val="Comment Subject Char"/>
    <w:basedOn w:val="CommentTextChar"/>
    <w:link w:val="CommentSubject"/>
    <w:uiPriority w:val="99"/>
    <w:semiHidden/>
    <w:rsid w:val="00E117B0"/>
    <w:rPr>
      <w:b/>
      <w:bCs/>
      <w:sz w:val="20"/>
      <w:szCs w:val="20"/>
    </w:rPr>
  </w:style>
  <w:style w:type="paragraph" w:styleId="BalloonText">
    <w:name w:val="Balloon Text"/>
    <w:basedOn w:val="Normal"/>
    <w:link w:val="BalloonTextChar"/>
    <w:uiPriority w:val="99"/>
    <w:semiHidden/>
    <w:unhideWhenUsed/>
    <w:rsid w:val="00E11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7B0"/>
    <w:rPr>
      <w:rFonts w:ascii="Segoe UI" w:hAnsi="Segoe UI" w:cs="Segoe UI"/>
      <w:sz w:val="18"/>
      <w:szCs w:val="18"/>
    </w:rPr>
  </w:style>
  <w:style w:type="paragraph" w:styleId="Revision">
    <w:name w:val="Revision"/>
    <w:hidden/>
    <w:uiPriority w:val="99"/>
    <w:semiHidden/>
    <w:rsid w:val="00EE0C1E"/>
    <w:pPr>
      <w:spacing w:after="0" w:line="240" w:lineRule="auto"/>
    </w:pPr>
  </w:style>
  <w:style w:type="character" w:styleId="UnresolvedMention">
    <w:name w:val="Unresolved Mention"/>
    <w:basedOn w:val="DefaultParagraphFont"/>
    <w:uiPriority w:val="99"/>
    <w:semiHidden/>
    <w:unhideWhenUsed/>
    <w:rsid w:val="00B82887"/>
    <w:rPr>
      <w:color w:val="605E5C"/>
      <w:shd w:val="clear" w:color="auto" w:fill="E1DFDD"/>
    </w:rPr>
  </w:style>
  <w:style w:type="paragraph" w:styleId="Subtitle">
    <w:name w:val="Subtitle"/>
    <w:basedOn w:val="Normal"/>
    <w:next w:val="Normal"/>
    <w:link w:val="SubtitleChar"/>
    <w:uiPriority w:val="11"/>
    <w:qFormat/>
    <w:rsid w:val="00F94D08"/>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4D08"/>
    <w:rPr>
      <w:rFonts w:eastAsiaTheme="minorEastAsia"/>
      <w:color w:val="5A5A5A" w:themeColor="text1" w:themeTint="A5"/>
      <w:spacing w:val="15"/>
    </w:rPr>
  </w:style>
  <w:style w:type="character" w:styleId="SubtleReference">
    <w:name w:val="Subtle Reference"/>
    <w:basedOn w:val="DefaultParagraphFont"/>
    <w:uiPriority w:val="31"/>
    <w:qFormat/>
    <w:rsid w:val="00F94D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heerfupdates.html" TargetMode="External"/><Relationship Id="rId1" Type="http://schemas.openxmlformats.org/officeDocument/2006/relationships/hyperlink" Target="https://www.federalregister.gov/documents/2020/06/17/2020-12965/eligibility-of-students-at-institutions-of-higher-education-for-funds-under-the-coronavirus-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Links>
    <vt:vector size="12" baseType="variant">
      <vt:variant>
        <vt:i4>1835027</vt:i4>
      </vt:variant>
      <vt:variant>
        <vt:i4>3</vt:i4>
      </vt:variant>
      <vt:variant>
        <vt:i4>0</vt:i4>
      </vt:variant>
      <vt:variant>
        <vt:i4>5</vt:i4>
      </vt:variant>
      <vt:variant>
        <vt:lpwstr>https://www2.ed.gov/about/offices/list/ope/heerfupdates.html</vt:lpwstr>
      </vt:variant>
      <vt:variant>
        <vt:lpwstr/>
      </vt:variant>
      <vt:variant>
        <vt:i4>2228256</vt:i4>
      </vt:variant>
      <vt:variant>
        <vt:i4>0</vt:i4>
      </vt:variant>
      <vt:variant>
        <vt:i4>0</vt:i4>
      </vt:variant>
      <vt:variant>
        <vt:i4>5</vt:i4>
      </vt:variant>
      <vt:variant>
        <vt:lpwstr>https://www.federalregister.gov/documents/2020/06/17/2020-12965/eligibility-of-students-at-institutions-of-higher-education-for-funds-under-the-coronavirus-aid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2020-10-06T20:24:00Z</dcterms:created>
  <dcterms:modified xsi:type="dcterms:W3CDTF">2020-12-06T10:06:00Z</dcterms:modified>
  <cp:contentStatus/>
</cp:coreProperties>
</file>