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5226"/>
      </w:tblGrid>
      <w:tr w:rsidR="009F7790" w14:paraId="6A7AE82E" w14:textId="77777777" w:rsidTr="00987026">
        <w:trPr>
          <w:trHeight w:val="1233"/>
        </w:trPr>
        <w:tc>
          <w:tcPr>
            <w:tcW w:w="1702" w:type="dxa"/>
            <w:shd w:val="clear" w:color="auto" w:fill="auto"/>
          </w:tcPr>
          <w:p w14:paraId="778E7AB1" w14:textId="77777777" w:rsidR="009F7790" w:rsidRDefault="009F7790" w:rsidP="002A1FE5">
            <w:pPr>
              <w:jc w:val="center"/>
              <w:rPr>
                <w:rFonts w:ascii="Segoe UI" w:hAnsi="Segoe UI" w:cs="Segoe UI"/>
                <w:b/>
                <w:sz w:val="60"/>
                <w:szCs w:val="60"/>
              </w:rPr>
            </w:pPr>
            <w:bookmarkStart w:id="0" w:name="_GoBack"/>
            <w:bookmarkEnd w:id="0"/>
            <w:r w:rsidRPr="00F306AF">
              <w:rPr>
                <w:b/>
                <w:noProof/>
                <w:sz w:val="36"/>
                <w:szCs w:val="36"/>
              </w:rPr>
              <w:drawing>
                <wp:anchor distT="0" distB="0" distL="114300" distR="114300" simplePos="0" relativeHeight="251661312" behindDoc="1" locked="0" layoutInCell="1" allowOverlap="1" wp14:anchorId="7EF6094E" wp14:editId="3FCFEE92">
                  <wp:simplePos x="0" y="0"/>
                  <wp:positionH relativeFrom="margin">
                    <wp:posOffset>-23975</wp:posOffset>
                  </wp:positionH>
                  <wp:positionV relativeFrom="page">
                    <wp:posOffset>111513</wp:posOffset>
                  </wp:positionV>
                  <wp:extent cx="938087" cy="462528"/>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PTO-logo-RGB-stacked-minimum-size.png"/>
                          <pic:cNvPicPr/>
                        </pic:nvPicPr>
                        <pic:blipFill>
                          <a:blip r:embed="rId8">
                            <a:extLst>
                              <a:ext uri="{28A0092B-C50C-407E-A947-70E740481C1C}">
                                <a14:useLocalDpi xmlns:a14="http://schemas.microsoft.com/office/drawing/2010/main" val="0"/>
                              </a:ext>
                            </a:extLst>
                          </a:blip>
                          <a:stretch>
                            <a:fillRect/>
                          </a:stretch>
                        </pic:blipFill>
                        <pic:spPr>
                          <a:xfrm>
                            <a:off x="0" y="0"/>
                            <a:ext cx="982581" cy="484466"/>
                          </a:xfrm>
                          <a:prstGeom prst="rect">
                            <a:avLst/>
                          </a:prstGeom>
                        </pic:spPr>
                      </pic:pic>
                    </a:graphicData>
                  </a:graphic>
                  <wp14:sizeRelH relativeFrom="page">
                    <wp14:pctWidth>0</wp14:pctWidth>
                  </wp14:sizeRelH>
                  <wp14:sizeRelV relativeFrom="page">
                    <wp14:pctHeight>0</wp14:pctHeight>
                  </wp14:sizeRelV>
                </wp:anchor>
              </w:drawing>
            </w:r>
          </w:p>
        </w:tc>
        <w:tc>
          <w:tcPr>
            <w:tcW w:w="5226" w:type="dxa"/>
            <w:shd w:val="clear" w:color="auto" w:fill="auto"/>
            <w:vAlign w:val="bottom"/>
          </w:tcPr>
          <w:p w14:paraId="3005D2F6" w14:textId="77777777" w:rsidR="009F7790" w:rsidRPr="00F672EC" w:rsidRDefault="009F7790" w:rsidP="002A1FE5">
            <w:pPr>
              <w:tabs>
                <w:tab w:val="left" w:pos="540"/>
              </w:tabs>
              <w:rPr>
                <w:rFonts w:ascii="Segoe UI" w:hAnsi="Segoe UI" w:cs="Segoe UI"/>
                <w:b/>
                <w:color w:val="164469"/>
                <w:sz w:val="52"/>
              </w:rPr>
            </w:pPr>
            <w:r w:rsidRPr="00282218">
              <w:rPr>
                <w:rFonts w:ascii="Segoe UI" w:hAnsi="Segoe UI" w:cs="Segoe UI"/>
                <w:b/>
                <w:color w:val="164469"/>
                <w:sz w:val="36"/>
              </w:rPr>
              <w:t>Office of the Chief Economist</w:t>
            </w:r>
          </w:p>
        </w:tc>
      </w:tr>
    </w:tbl>
    <w:p w14:paraId="082A0B20" w14:textId="77777777" w:rsidR="00C5172F" w:rsidRPr="002A7E34" w:rsidRDefault="00C5172F" w:rsidP="00C5172F">
      <w:pPr>
        <w:rPr>
          <w:rFonts w:ascii="Segoe UI" w:hAnsi="Segoe UI" w:cs="Segoe UI"/>
          <w:b/>
          <w:sz w:val="28"/>
          <w:szCs w:val="28"/>
        </w:rPr>
      </w:pPr>
    </w:p>
    <w:p w14:paraId="4FF97901" w14:textId="77777777" w:rsidR="00C5172F" w:rsidRPr="006C41BD" w:rsidRDefault="00C5172F" w:rsidP="00C5172F">
      <w:pPr>
        <w:jc w:val="center"/>
        <w:rPr>
          <w:rFonts w:ascii="Cambria" w:hAnsi="Cambria" w:cs="Segoe UI"/>
          <w:b/>
          <w:sz w:val="56"/>
          <w:szCs w:val="60"/>
        </w:rPr>
      </w:pPr>
      <w:r w:rsidRPr="006C41BD">
        <w:rPr>
          <w:rFonts w:ascii="Cambria" w:hAnsi="Cambria" w:cs="Segoe UI"/>
          <w:b/>
          <w:sz w:val="56"/>
          <w:szCs w:val="60"/>
        </w:rPr>
        <w:t xml:space="preserve">Government Interest Patents: </w:t>
      </w:r>
      <w:r>
        <w:rPr>
          <w:rFonts w:ascii="Cambria" w:hAnsi="Cambria" w:cs="Segoe UI"/>
          <w:b/>
          <w:sz w:val="56"/>
          <w:szCs w:val="60"/>
        </w:rPr>
        <w:br/>
      </w:r>
      <w:r w:rsidRPr="006C41BD">
        <w:rPr>
          <w:rFonts w:ascii="Cambria" w:hAnsi="Cambria" w:cs="Segoe UI"/>
          <w:b/>
          <w:sz w:val="56"/>
          <w:szCs w:val="60"/>
        </w:rPr>
        <w:t xml:space="preserve">When </w:t>
      </w:r>
      <w:r w:rsidR="005158EA">
        <w:rPr>
          <w:rFonts w:ascii="Cambria" w:hAnsi="Cambria" w:cs="Segoe UI"/>
          <w:b/>
          <w:sz w:val="56"/>
          <w:szCs w:val="60"/>
        </w:rPr>
        <w:t xml:space="preserve">Public </w:t>
      </w:r>
      <w:r w:rsidRPr="006C41BD">
        <w:rPr>
          <w:rFonts w:ascii="Cambria" w:hAnsi="Cambria" w:cs="Segoe UI"/>
          <w:b/>
          <w:sz w:val="56"/>
          <w:szCs w:val="60"/>
        </w:rPr>
        <w:t>Investment Feeds Innovation</w:t>
      </w:r>
    </w:p>
    <w:p w14:paraId="30A405EA" w14:textId="77777777" w:rsidR="00C5172F" w:rsidRPr="006C41BD" w:rsidRDefault="00C5172F" w:rsidP="00C5172F">
      <w:pPr>
        <w:jc w:val="center"/>
        <w:rPr>
          <w:rFonts w:ascii="Cambria" w:hAnsi="Cambria" w:cs="Segoe UI"/>
          <w:b/>
          <w:sz w:val="28"/>
        </w:rPr>
      </w:pPr>
      <w:r w:rsidRPr="006C41BD">
        <w:rPr>
          <w:rFonts w:ascii="Cambria" w:hAnsi="Cambria" w:cs="Segoe UI"/>
          <w:b/>
          <w:sz w:val="28"/>
        </w:rPr>
        <w:t xml:space="preserve">Sanjay </w:t>
      </w:r>
      <w:r w:rsidR="002D3FE9">
        <w:rPr>
          <w:rFonts w:ascii="Cambria" w:hAnsi="Cambria" w:cs="Segoe UI"/>
          <w:b/>
          <w:sz w:val="28"/>
        </w:rPr>
        <w:t xml:space="preserve">K. </w:t>
      </w:r>
      <w:r w:rsidRPr="006C41BD">
        <w:rPr>
          <w:rFonts w:ascii="Cambria" w:hAnsi="Cambria" w:cs="Segoe UI"/>
          <w:b/>
          <w:sz w:val="28"/>
        </w:rPr>
        <w:t>Arora, Amanda Myers, and Andrew A. Toole</w:t>
      </w:r>
    </w:p>
    <w:p w14:paraId="1F83A0BA" w14:textId="77777777" w:rsidR="00C5172F" w:rsidRPr="006C41BD" w:rsidRDefault="00C5172F" w:rsidP="00C5172F">
      <w:pPr>
        <w:jc w:val="center"/>
        <w:rPr>
          <w:rFonts w:ascii="Cambria" w:hAnsi="Cambria" w:cs="Segoe UI"/>
          <w:b/>
          <w:sz w:val="28"/>
        </w:rPr>
      </w:pPr>
      <w:r w:rsidRPr="006C41BD">
        <w:rPr>
          <w:rFonts w:ascii="Cambria" w:hAnsi="Cambria" w:cs="Segoe UI"/>
          <w:b/>
          <w:sz w:val="28"/>
        </w:rPr>
        <w:t xml:space="preserve">OCE Data Brief Number </w:t>
      </w:r>
      <w:r w:rsidRPr="00EA6DFE">
        <w:rPr>
          <w:rFonts w:ascii="Cambria" w:hAnsi="Cambria" w:cs="Segoe UI"/>
          <w:b/>
          <w:sz w:val="28"/>
          <w:highlight w:val="yellow"/>
        </w:rPr>
        <w:t>2</w:t>
      </w:r>
      <w:r w:rsidRPr="006C41BD">
        <w:rPr>
          <w:rFonts w:ascii="Cambria" w:hAnsi="Cambria" w:cs="Segoe UI"/>
          <w:b/>
          <w:sz w:val="28"/>
        </w:rPr>
        <w:t xml:space="preserve">, </w:t>
      </w:r>
      <w:r w:rsidR="009F7790">
        <w:rPr>
          <w:rFonts w:ascii="Cambria" w:hAnsi="Cambria" w:cs="Segoe UI"/>
          <w:b/>
          <w:sz w:val="28"/>
        </w:rPr>
        <w:t>March</w:t>
      </w:r>
      <w:r w:rsidRPr="006C41BD">
        <w:rPr>
          <w:rFonts w:ascii="Cambria" w:hAnsi="Cambria" w:cs="Segoe UI"/>
          <w:b/>
          <w:sz w:val="28"/>
        </w:rPr>
        <w:t xml:space="preserve"> 2018</w:t>
      </w:r>
    </w:p>
    <w:p w14:paraId="17B9B453" w14:textId="77777777" w:rsidR="00C5172F" w:rsidRPr="004455D5" w:rsidRDefault="00C5172F" w:rsidP="00C5172F">
      <w:pPr>
        <w:rPr>
          <w:rFonts w:ascii="Segoe UI" w:hAnsi="Segoe UI" w:cs="Segoe UI"/>
          <w:b/>
          <w:sz w:val="20"/>
        </w:rPr>
      </w:pPr>
    </w:p>
    <w:p w14:paraId="4A4782D5" w14:textId="77777777" w:rsidR="00C5172F" w:rsidRPr="009B0BB2" w:rsidRDefault="00C5172F" w:rsidP="00C5172F">
      <w:pPr>
        <w:rPr>
          <w:rFonts w:ascii="Segoe UI" w:hAnsi="Segoe UI" w:cs="Segoe UI"/>
        </w:rPr>
      </w:pPr>
      <w:r w:rsidRPr="009B0BB2">
        <w:rPr>
          <w:rFonts w:ascii="Segoe UI" w:hAnsi="Segoe UI" w:cs="Segoe UI"/>
        </w:rPr>
        <w:t xml:space="preserve">This </w:t>
      </w:r>
      <w:r>
        <w:rPr>
          <w:rFonts w:ascii="Segoe UI" w:hAnsi="Segoe UI" w:cs="Segoe UI"/>
        </w:rPr>
        <w:t xml:space="preserve">data </w:t>
      </w:r>
      <w:r w:rsidRPr="009B0BB2">
        <w:rPr>
          <w:rFonts w:ascii="Segoe UI" w:hAnsi="Segoe UI" w:cs="Segoe UI"/>
        </w:rPr>
        <w:t xml:space="preserve">brief examines </w:t>
      </w:r>
      <w:r>
        <w:rPr>
          <w:rFonts w:ascii="Segoe UI" w:hAnsi="Segoe UI" w:cs="Segoe UI"/>
        </w:rPr>
        <w:t xml:space="preserve">the flow of </w:t>
      </w:r>
      <w:r w:rsidR="009220EB">
        <w:rPr>
          <w:rFonts w:ascii="Segoe UI" w:hAnsi="Segoe UI" w:cs="Segoe UI"/>
        </w:rPr>
        <w:t xml:space="preserve">patented </w:t>
      </w:r>
      <w:r>
        <w:rPr>
          <w:rFonts w:ascii="Segoe UI" w:hAnsi="Segoe UI" w:cs="Segoe UI"/>
        </w:rPr>
        <w:t>inventions emerging from federally funded research and development (R&amp;D) expenditures between 1980 and</w:t>
      </w:r>
      <w:r w:rsidRPr="00EC3F9E">
        <w:rPr>
          <w:rFonts w:ascii="Segoe UI" w:hAnsi="Segoe UI" w:cs="Segoe UI"/>
        </w:rPr>
        <w:t xml:space="preserve"> 2016. </w:t>
      </w:r>
      <w:r>
        <w:rPr>
          <w:rFonts w:ascii="Segoe UI" w:hAnsi="Segoe UI" w:cs="Segoe UI"/>
        </w:rPr>
        <w:t xml:space="preserve"> The analysis is made possible </w:t>
      </w:r>
      <w:r w:rsidR="004364A3">
        <w:rPr>
          <w:rFonts w:ascii="Segoe UI" w:hAnsi="Segoe UI" w:cs="Segoe UI"/>
        </w:rPr>
        <w:t>by the</w:t>
      </w:r>
      <w:r>
        <w:rPr>
          <w:rFonts w:ascii="Segoe UI" w:hAnsi="Segoe UI" w:cs="Segoe UI"/>
        </w:rPr>
        <w:t xml:space="preserve"> newly incorporated “government interest statement” data </w:t>
      </w:r>
      <w:r w:rsidR="0001022F">
        <w:rPr>
          <w:rFonts w:ascii="Segoe UI" w:hAnsi="Segoe UI" w:cs="Segoe UI"/>
        </w:rPr>
        <w:t>in</w:t>
      </w:r>
      <w:r>
        <w:rPr>
          <w:rFonts w:ascii="Segoe UI" w:hAnsi="Segoe UI" w:cs="Segoe UI"/>
        </w:rPr>
        <w:t xml:space="preserve"> PatentsView (</w:t>
      </w:r>
      <w:hyperlink r:id="rId9" w:history="1">
        <w:r w:rsidRPr="00F6717C">
          <w:rPr>
            <w:rStyle w:val="Hyperlink"/>
            <w:rFonts w:ascii="Segoe UI" w:hAnsi="Segoe UI" w:cs="Segoe UI"/>
          </w:rPr>
          <w:t>www.patentsview.org)</w:t>
        </w:r>
      </w:hyperlink>
      <w:r w:rsidRPr="009B0BB2">
        <w:rPr>
          <w:rFonts w:ascii="Segoe UI" w:hAnsi="Segoe UI" w:cs="Segoe UI"/>
        </w:rPr>
        <w:t xml:space="preserve">, a web-based </w:t>
      </w:r>
      <w:r w:rsidRPr="006E6147">
        <w:rPr>
          <w:rFonts w:ascii="Segoe UI" w:hAnsi="Segoe UI" w:cs="Segoe UI"/>
        </w:rPr>
        <w:t xml:space="preserve">data visualization and analysis platform </w:t>
      </w:r>
      <w:r w:rsidRPr="009B0BB2">
        <w:rPr>
          <w:rFonts w:ascii="Segoe UI" w:hAnsi="Segoe UI" w:cs="Segoe UI"/>
        </w:rPr>
        <w:t xml:space="preserve">supported by </w:t>
      </w:r>
      <w:r>
        <w:rPr>
          <w:rFonts w:ascii="Segoe UI" w:hAnsi="Segoe UI" w:cs="Segoe UI"/>
        </w:rPr>
        <w:t>United States Patent and Trademark (USPTO)</w:t>
      </w:r>
      <w:r w:rsidRPr="009B0BB2">
        <w:rPr>
          <w:rFonts w:ascii="Segoe UI" w:hAnsi="Segoe UI" w:cs="Segoe UI"/>
        </w:rPr>
        <w:t xml:space="preserve"> Office of the Chief Economist (OCE). </w:t>
      </w:r>
    </w:p>
    <w:p w14:paraId="34730570" w14:textId="77777777" w:rsidR="00C5172F" w:rsidRPr="009B0BB2" w:rsidRDefault="00C5172F" w:rsidP="00C5172F">
      <w:pPr>
        <w:rPr>
          <w:rFonts w:ascii="Segoe UI" w:hAnsi="Segoe UI" w:cs="Segoe UI"/>
        </w:rPr>
      </w:pPr>
    </w:p>
    <w:p w14:paraId="3BA46E48" w14:textId="77777777" w:rsidR="00C5172F" w:rsidRPr="006C41BD" w:rsidRDefault="00C5172F" w:rsidP="00C5172F">
      <w:pPr>
        <w:rPr>
          <w:rFonts w:ascii="Cambria" w:hAnsi="Cambria" w:cs="Segoe UI"/>
          <w:b/>
          <w:sz w:val="28"/>
        </w:rPr>
      </w:pPr>
      <w:r>
        <w:rPr>
          <w:rFonts w:ascii="Cambria" w:hAnsi="Cambria" w:cs="Segoe UI"/>
          <w:b/>
          <w:sz w:val="28"/>
        </w:rPr>
        <w:t>Overview of Key Findings</w:t>
      </w:r>
    </w:p>
    <w:p w14:paraId="2E279CC5" w14:textId="77777777" w:rsidR="00247105" w:rsidRDefault="009220EB" w:rsidP="00C5172F">
      <w:pPr>
        <w:pStyle w:val="ListParagraph"/>
        <w:numPr>
          <w:ilvl w:val="0"/>
          <w:numId w:val="2"/>
        </w:numPr>
        <w:rPr>
          <w:rFonts w:ascii="Segoe UI" w:eastAsiaTheme="majorEastAsia" w:hAnsi="Segoe UI" w:cs="Segoe UI"/>
          <w:iCs/>
        </w:rPr>
      </w:pPr>
      <w:r>
        <w:rPr>
          <w:rFonts w:ascii="Segoe UI" w:eastAsiaTheme="majorEastAsia" w:hAnsi="Segoe UI" w:cs="Segoe UI"/>
          <w:iCs/>
        </w:rPr>
        <w:t>Patented i</w:t>
      </w:r>
      <w:r w:rsidR="00247105" w:rsidRPr="00247105">
        <w:rPr>
          <w:rFonts w:ascii="Segoe UI" w:eastAsiaTheme="majorEastAsia" w:hAnsi="Segoe UI" w:cs="Segoe UI"/>
          <w:iCs/>
        </w:rPr>
        <w:t xml:space="preserve">nventions </w:t>
      </w:r>
      <w:r w:rsidR="00A03451">
        <w:rPr>
          <w:rFonts w:ascii="Segoe UI" w:eastAsiaTheme="majorEastAsia" w:hAnsi="Segoe UI" w:cs="Segoe UI"/>
          <w:iCs/>
        </w:rPr>
        <w:t>funded by f</w:t>
      </w:r>
      <w:r w:rsidR="00247105" w:rsidRPr="00247105">
        <w:rPr>
          <w:rFonts w:ascii="Segoe UI" w:eastAsiaTheme="majorEastAsia" w:hAnsi="Segoe UI" w:cs="Segoe UI"/>
          <w:iCs/>
        </w:rPr>
        <w:t>ederal</w:t>
      </w:r>
      <w:r w:rsidR="00A03451">
        <w:rPr>
          <w:rFonts w:ascii="Segoe UI" w:eastAsiaTheme="majorEastAsia" w:hAnsi="Segoe UI" w:cs="Segoe UI"/>
          <w:iCs/>
        </w:rPr>
        <w:t xml:space="preserve"> research programs</w:t>
      </w:r>
      <w:r w:rsidR="00816882">
        <w:rPr>
          <w:rFonts w:ascii="Segoe UI" w:eastAsiaTheme="majorEastAsia" w:hAnsi="Segoe UI" w:cs="Segoe UI"/>
          <w:iCs/>
        </w:rPr>
        <w:t xml:space="preserve"> have experienced </w:t>
      </w:r>
      <w:r w:rsidR="00247105" w:rsidRPr="00247105">
        <w:rPr>
          <w:rFonts w:ascii="Segoe UI" w:eastAsiaTheme="majorEastAsia" w:hAnsi="Segoe UI" w:cs="Segoe UI"/>
          <w:iCs/>
        </w:rPr>
        <w:t xml:space="preserve">strong </w:t>
      </w:r>
      <w:r>
        <w:rPr>
          <w:rFonts w:ascii="Segoe UI" w:eastAsiaTheme="majorEastAsia" w:hAnsi="Segoe UI" w:cs="Segoe UI"/>
          <w:iCs/>
        </w:rPr>
        <w:t>growth</w:t>
      </w:r>
      <w:r w:rsidR="00816882">
        <w:rPr>
          <w:rFonts w:ascii="Segoe UI" w:eastAsiaTheme="majorEastAsia" w:hAnsi="Segoe UI" w:cs="Segoe UI"/>
          <w:iCs/>
        </w:rPr>
        <w:t xml:space="preserve"> in the </w:t>
      </w:r>
      <w:r w:rsidR="00816882" w:rsidRPr="00EA6DFE">
        <w:rPr>
          <w:rFonts w:ascii="Segoe UI" w:eastAsiaTheme="majorEastAsia" w:hAnsi="Segoe UI" w:cs="Segoe UI"/>
          <w:iCs/>
          <w:highlight w:val="yellow"/>
        </w:rPr>
        <w:t>past decade</w:t>
      </w:r>
      <w:r w:rsidRPr="00EA6DFE">
        <w:rPr>
          <w:rFonts w:ascii="Segoe UI" w:eastAsiaTheme="majorEastAsia" w:hAnsi="Segoe UI" w:cs="Segoe UI"/>
          <w:iCs/>
          <w:highlight w:val="yellow"/>
        </w:rPr>
        <w:t xml:space="preserve">, </w:t>
      </w:r>
      <w:r w:rsidR="00EC0FAC" w:rsidRPr="00EA6DFE">
        <w:rPr>
          <w:rFonts w:ascii="Segoe UI" w:eastAsiaTheme="majorEastAsia" w:hAnsi="Segoe UI" w:cs="Segoe UI"/>
          <w:iCs/>
          <w:highlight w:val="yellow"/>
        </w:rPr>
        <w:t>[slightly</w:t>
      </w:r>
      <w:r w:rsidR="00EC0FAC">
        <w:rPr>
          <w:rFonts w:ascii="Segoe UI" w:eastAsiaTheme="majorEastAsia" w:hAnsi="Segoe UI" w:cs="Segoe UI"/>
          <w:iCs/>
        </w:rPr>
        <w:t xml:space="preserve">] </w:t>
      </w:r>
      <w:r>
        <w:rPr>
          <w:rFonts w:ascii="Segoe UI" w:eastAsiaTheme="majorEastAsia" w:hAnsi="Segoe UI" w:cs="Segoe UI"/>
          <w:iCs/>
        </w:rPr>
        <w:t xml:space="preserve">outpacing </w:t>
      </w:r>
      <w:r w:rsidR="00816882">
        <w:rPr>
          <w:rFonts w:ascii="Segoe UI" w:eastAsiaTheme="majorEastAsia" w:hAnsi="Segoe UI" w:cs="Segoe UI"/>
          <w:iCs/>
        </w:rPr>
        <w:t xml:space="preserve">increases </w:t>
      </w:r>
      <w:r>
        <w:rPr>
          <w:rFonts w:ascii="Segoe UI" w:eastAsiaTheme="majorEastAsia" w:hAnsi="Segoe UI" w:cs="Segoe UI"/>
          <w:iCs/>
        </w:rPr>
        <w:t>in overall patenting</w:t>
      </w:r>
      <w:r w:rsidR="004364A3">
        <w:rPr>
          <w:rFonts w:ascii="Segoe UI" w:eastAsiaTheme="majorEastAsia" w:hAnsi="Segoe UI" w:cs="Segoe UI"/>
          <w:iCs/>
        </w:rPr>
        <w:t xml:space="preserve"> even as total Federal R&amp;D expenditure has declined</w:t>
      </w:r>
      <w:r>
        <w:rPr>
          <w:rFonts w:ascii="Segoe UI" w:eastAsiaTheme="majorEastAsia" w:hAnsi="Segoe UI" w:cs="Segoe UI"/>
          <w:iCs/>
        </w:rPr>
        <w:t>.</w:t>
      </w:r>
      <w:r w:rsidR="00247105" w:rsidRPr="00247105">
        <w:rPr>
          <w:rFonts w:ascii="Segoe UI" w:eastAsiaTheme="majorEastAsia" w:hAnsi="Segoe UI" w:cs="Segoe UI"/>
          <w:iCs/>
        </w:rPr>
        <w:t xml:space="preserve"> </w:t>
      </w:r>
    </w:p>
    <w:p w14:paraId="40B5F886" w14:textId="77777777" w:rsidR="00C5172F" w:rsidRDefault="0001022F" w:rsidP="00C5172F">
      <w:pPr>
        <w:pStyle w:val="ListParagraph"/>
        <w:numPr>
          <w:ilvl w:val="0"/>
          <w:numId w:val="2"/>
        </w:numPr>
        <w:rPr>
          <w:rFonts w:ascii="Segoe UI" w:eastAsiaTheme="majorEastAsia" w:hAnsi="Segoe UI" w:cs="Segoe UI"/>
          <w:iCs/>
        </w:rPr>
      </w:pPr>
      <w:r>
        <w:rPr>
          <w:rFonts w:ascii="Segoe UI" w:eastAsiaTheme="majorEastAsia" w:hAnsi="Segoe UI" w:cs="Segoe UI"/>
          <w:iCs/>
        </w:rPr>
        <w:t xml:space="preserve">Federal agencies fund </w:t>
      </w:r>
      <w:r w:rsidR="004364A3">
        <w:rPr>
          <w:rFonts w:ascii="Segoe UI" w:eastAsiaTheme="majorEastAsia" w:hAnsi="Segoe UI" w:cs="Segoe UI"/>
          <w:iCs/>
        </w:rPr>
        <w:t xml:space="preserve">patented </w:t>
      </w:r>
      <w:r>
        <w:rPr>
          <w:rFonts w:ascii="Segoe UI" w:eastAsiaTheme="majorEastAsia" w:hAnsi="Segoe UI" w:cs="Segoe UI"/>
          <w:iCs/>
        </w:rPr>
        <w:t>inventi</w:t>
      </w:r>
      <w:r w:rsidR="004364A3">
        <w:rPr>
          <w:rFonts w:ascii="Segoe UI" w:eastAsiaTheme="majorEastAsia" w:hAnsi="Segoe UI" w:cs="Segoe UI"/>
          <w:iCs/>
        </w:rPr>
        <w:t>ons</w:t>
      </w:r>
      <w:r>
        <w:rPr>
          <w:rFonts w:ascii="Segoe UI" w:eastAsiaTheme="majorEastAsia" w:hAnsi="Segoe UI" w:cs="Segoe UI"/>
          <w:iCs/>
        </w:rPr>
        <w:t xml:space="preserve"> output</w:t>
      </w:r>
      <w:r w:rsidR="00247105" w:rsidRPr="00247105">
        <w:rPr>
          <w:rFonts w:ascii="Segoe UI" w:eastAsiaTheme="majorEastAsia" w:hAnsi="Segoe UI" w:cs="Segoe UI"/>
          <w:iCs/>
        </w:rPr>
        <w:t xml:space="preserve"> </w:t>
      </w:r>
      <w:r w:rsidR="004364A3">
        <w:rPr>
          <w:rFonts w:ascii="Segoe UI" w:eastAsiaTheme="majorEastAsia" w:hAnsi="Segoe UI" w:cs="Segoe UI"/>
          <w:iCs/>
        </w:rPr>
        <w:t xml:space="preserve">developed </w:t>
      </w:r>
      <w:r w:rsidR="00247105" w:rsidRPr="00247105">
        <w:rPr>
          <w:rFonts w:ascii="Segoe UI" w:eastAsiaTheme="majorEastAsia" w:hAnsi="Segoe UI" w:cs="Segoe UI"/>
          <w:iCs/>
        </w:rPr>
        <w:t xml:space="preserve">at </w:t>
      </w:r>
      <w:r>
        <w:rPr>
          <w:rFonts w:ascii="Segoe UI" w:eastAsiaTheme="majorEastAsia" w:hAnsi="Segoe UI" w:cs="Segoe UI"/>
          <w:iCs/>
        </w:rPr>
        <w:t>universities and corporations</w:t>
      </w:r>
      <w:r w:rsidR="00247105" w:rsidRPr="00247105">
        <w:rPr>
          <w:rFonts w:ascii="Segoe UI" w:eastAsiaTheme="majorEastAsia" w:hAnsi="Segoe UI" w:cs="Segoe UI"/>
          <w:iCs/>
        </w:rPr>
        <w:t xml:space="preserve"> in differing but overall increasing amounts </w:t>
      </w:r>
    </w:p>
    <w:p w14:paraId="200C070C" w14:textId="77777777" w:rsidR="00247105" w:rsidRDefault="00247105" w:rsidP="00247105">
      <w:pPr>
        <w:pStyle w:val="ListParagraph"/>
        <w:numPr>
          <w:ilvl w:val="0"/>
          <w:numId w:val="2"/>
        </w:numPr>
        <w:rPr>
          <w:rFonts w:ascii="Segoe UI" w:eastAsiaTheme="majorEastAsia" w:hAnsi="Segoe UI" w:cs="Segoe UI"/>
          <w:iCs/>
        </w:rPr>
      </w:pPr>
      <w:r w:rsidRPr="00247105">
        <w:rPr>
          <w:rFonts w:ascii="Segoe UI" w:eastAsiaTheme="majorEastAsia" w:hAnsi="Segoe UI" w:cs="Segoe UI"/>
          <w:iCs/>
        </w:rPr>
        <w:t xml:space="preserve">Small firm entrants into patenting have increased more than </w:t>
      </w:r>
      <w:r w:rsidR="003D1306">
        <w:rPr>
          <w:rFonts w:ascii="Segoe UI" w:eastAsiaTheme="majorEastAsia" w:hAnsi="Segoe UI" w:cs="Segoe UI"/>
          <w:iCs/>
        </w:rPr>
        <w:t>five</w:t>
      </w:r>
      <w:r w:rsidRPr="00247105">
        <w:rPr>
          <w:rFonts w:ascii="Segoe UI" w:eastAsiaTheme="majorEastAsia" w:hAnsi="Segoe UI" w:cs="Segoe UI"/>
          <w:iCs/>
        </w:rPr>
        <w:t>-fold since 1990</w:t>
      </w:r>
    </w:p>
    <w:p w14:paraId="08770D16" w14:textId="77777777" w:rsidR="00C5172F" w:rsidRPr="00D74389" w:rsidRDefault="00247105" w:rsidP="00247105">
      <w:pPr>
        <w:pStyle w:val="ListParagraph"/>
        <w:numPr>
          <w:ilvl w:val="0"/>
          <w:numId w:val="2"/>
        </w:numPr>
        <w:rPr>
          <w:rFonts w:ascii="Segoe UI" w:eastAsiaTheme="majorEastAsia" w:hAnsi="Segoe UI" w:cs="Segoe UI"/>
          <w:iCs/>
          <w:color w:val="000000" w:themeColor="text1"/>
        </w:rPr>
      </w:pPr>
      <w:r w:rsidRPr="00D74389">
        <w:rPr>
          <w:rFonts w:ascii="Segoe UI" w:eastAsiaTheme="majorEastAsia" w:hAnsi="Segoe UI" w:cs="Segoe UI"/>
          <w:iCs/>
          <w:color w:val="000000" w:themeColor="text1"/>
        </w:rPr>
        <w:t xml:space="preserve">Inventions from Federally-supported </w:t>
      </w:r>
      <w:r w:rsidR="0001022F" w:rsidRPr="00D74389">
        <w:rPr>
          <w:rFonts w:ascii="Segoe UI" w:eastAsiaTheme="majorEastAsia" w:hAnsi="Segoe UI" w:cs="Segoe UI"/>
          <w:iCs/>
          <w:color w:val="000000" w:themeColor="text1"/>
        </w:rPr>
        <w:t>R&amp;D</w:t>
      </w:r>
      <w:r w:rsidRPr="00D74389">
        <w:rPr>
          <w:rFonts w:ascii="Segoe UI" w:eastAsiaTheme="majorEastAsia" w:hAnsi="Segoe UI" w:cs="Segoe UI"/>
          <w:iCs/>
          <w:color w:val="000000" w:themeColor="text1"/>
        </w:rPr>
        <w:t xml:space="preserve"> involve larger inventor teams, and women are increasingly likely to participate </w:t>
      </w:r>
    </w:p>
    <w:p w14:paraId="5A3DC188" w14:textId="77777777" w:rsidR="00C5172F" w:rsidRDefault="00247105" w:rsidP="00C5172F">
      <w:pPr>
        <w:pStyle w:val="ListParagraph"/>
        <w:numPr>
          <w:ilvl w:val="0"/>
          <w:numId w:val="2"/>
        </w:numPr>
        <w:rPr>
          <w:rFonts w:ascii="Segoe UI" w:eastAsiaTheme="majorEastAsia" w:hAnsi="Segoe UI" w:cs="Segoe UI"/>
          <w:iCs/>
        </w:rPr>
      </w:pPr>
      <w:r w:rsidRPr="00247105">
        <w:rPr>
          <w:rFonts w:ascii="Segoe UI" w:eastAsiaTheme="majorEastAsia" w:hAnsi="Segoe UI" w:cs="Segoe UI"/>
          <w:iCs/>
        </w:rPr>
        <w:t xml:space="preserve">University and corporate assigned </w:t>
      </w:r>
      <w:r w:rsidR="0001022F">
        <w:rPr>
          <w:rFonts w:ascii="Segoe UI" w:eastAsiaTheme="majorEastAsia" w:hAnsi="Segoe UI" w:cs="Segoe UI"/>
          <w:iCs/>
        </w:rPr>
        <w:t xml:space="preserve">government interest </w:t>
      </w:r>
      <w:r>
        <w:rPr>
          <w:rFonts w:ascii="Segoe UI" w:eastAsiaTheme="majorEastAsia" w:hAnsi="Segoe UI" w:cs="Segoe UI"/>
          <w:iCs/>
        </w:rPr>
        <w:t xml:space="preserve">patents </w:t>
      </w:r>
      <w:r w:rsidR="0001022F">
        <w:rPr>
          <w:rFonts w:ascii="Segoe UI" w:eastAsiaTheme="majorEastAsia" w:hAnsi="Segoe UI" w:cs="Segoe UI"/>
          <w:iCs/>
        </w:rPr>
        <w:t xml:space="preserve">appear more </w:t>
      </w:r>
      <w:r w:rsidRPr="00247105">
        <w:rPr>
          <w:rFonts w:ascii="Segoe UI" w:eastAsiaTheme="majorEastAsia" w:hAnsi="Segoe UI" w:cs="Segoe UI"/>
          <w:iCs/>
        </w:rPr>
        <w:t xml:space="preserve">economically valuable </w:t>
      </w:r>
      <w:r w:rsidR="0001022F">
        <w:rPr>
          <w:rFonts w:ascii="Segoe UI" w:eastAsiaTheme="majorEastAsia" w:hAnsi="Segoe UI" w:cs="Segoe UI"/>
          <w:iCs/>
        </w:rPr>
        <w:t xml:space="preserve">than </w:t>
      </w:r>
      <w:r>
        <w:rPr>
          <w:rFonts w:ascii="Segoe UI" w:eastAsiaTheme="majorEastAsia" w:hAnsi="Segoe UI" w:cs="Segoe UI"/>
          <w:iCs/>
        </w:rPr>
        <w:t xml:space="preserve">patents assigned to the government </w:t>
      </w:r>
    </w:p>
    <w:p w14:paraId="0E36759F" w14:textId="77777777" w:rsidR="00C5172F" w:rsidRPr="00EC3F9E" w:rsidRDefault="00C5172F" w:rsidP="00C5172F">
      <w:pPr>
        <w:pStyle w:val="ListParagraph"/>
        <w:numPr>
          <w:ilvl w:val="0"/>
          <w:numId w:val="1"/>
        </w:numPr>
        <w:rPr>
          <w:rFonts w:ascii="Segoe UI" w:hAnsi="Segoe UI" w:cs="Segoe UI"/>
        </w:rPr>
      </w:pPr>
      <w:r w:rsidRPr="00EC3F9E">
        <w:rPr>
          <w:rFonts w:ascii="Segoe UI" w:hAnsi="Segoe UI" w:cs="Segoe UI"/>
        </w:rPr>
        <w:br w:type="page"/>
      </w:r>
    </w:p>
    <w:p w14:paraId="5A4B07DD" w14:textId="77777777" w:rsidR="00C5172F" w:rsidRPr="006C41BD" w:rsidRDefault="00C5172F" w:rsidP="00C5172F">
      <w:pPr>
        <w:rPr>
          <w:rFonts w:ascii="Cambria" w:hAnsi="Cambria" w:cs="Segoe UI"/>
          <w:b/>
          <w:sz w:val="28"/>
        </w:rPr>
      </w:pPr>
      <w:r w:rsidRPr="006C41BD">
        <w:rPr>
          <w:rFonts w:ascii="Cambria" w:hAnsi="Cambria" w:cs="Segoe UI"/>
          <w:b/>
          <w:sz w:val="28"/>
        </w:rPr>
        <w:lastRenderedPageBreak/>
        <w:t>Introduction</w:t>
      </w:r>
    </w:p>
    <w:p w14:paraId="0B797E7B" w14:textId="77777777" w:rsidR="00347983" w:rsidRDefault="00C5172F" w:rsidP="00C5172F">
      <w:pPr>
        <w:rPr>
          <w:rFonts w:ascii="Segoe UI" w:hAnsi="Segoe UI" w:cs="Segoe UI"/>
        </w:rPr>
      </w:pPr>
      <w:r>
        <w:rPr>
          <w:rFonts w:ascii="Segoe UI" w:hAnsi="Segoe UI" w:cs="Segoe UI"/>
        </w:rPr>
        <w:t xml:space="preserve">The Bayh-Dole Act of 1980 stands as a landmark piece of legislation: it </w:t>
      </w:r>
      <w:r w:rsidR="00E1210B">
        <w:rPr>
          <w:rFonts w:ascii="Segoe UI" w:hAnsi="Segoe UI" w:cs="Segoe UI"/>
        </w:rPr>
        <w:t>created a uniform patent policy among federal agencies</w:t>
      </w:r>
      <w:r w:rsidR="00985273">
        <w:rPr>
          <w:rFonts w:ascii="Segoe UI" w:hAnsi="Segoe UI" w:cs="Segoe UI"/>
        </w:rPr>
        <w:t xml:space="preserve">, enabling </w:t>
      </w:r>
      <w:r w:rsidR="00E5054E">
        <w:rPr>
          <w:rFonts w:ascii="Segoe UI" w:hAnsi="Segoe UI" w:cs="Segoe UI"/>
        </w:rPr>
        <w:t>firms</w:t>
      </w:r>
      <w:r w:rsidR="00985273">
        <w:rPr>
          <w:rFonts w:ascii="Segoe UI" w:hAnsi="Segoe UI" w:cs="Segoe UI"/>
        </w:rPr>
        <w:t>, non-profit organizations, and universities to retain title to inventi</w:t>
      </w:r>
      <w:r w:rsidR="00E5054E">
        <w:rPr>
          <w:rFonts w:ascii="Segoe UI" w:hAnsi="Segoe UI" w:cs="Segoe UI"/>
        </w:rPr>
        <w:t>ons developed through</w:t>
      </w:r>
      <w:r w:rsidR="00985273">
        <w:rPr>
          <w:rFonts w:ascii="Segoe UI" w:hAnsi="Segoe UI" w:cs="Segoe UI"/>
        </w:rPr>
        <w:t xml:space="preserve"> federally funded research.</w:t>
      </w:r>
      <w:r w:rsidR="00DF7DC7">
        <w:rPr>
          <w:rStyle w:val="FootnoteReference"/>
          <w:rFonts w:ascii="Segoe UI" w:hAnsi="Segoe UI" w:cs="Segoe UI"/>
        </w:rPr>
        <w:footnoteReference w:id="2"/>
      </w:r>
      <w:r w:rsidR="00E1210B">
        <w:rPr>
          <w:rFonts w:ascii="Segoe UI" w:hAnsi="Segoe UI" w:cs="Segoe UI"/>
        </w:rPr>
        <w:t xml:space="preserve"> </w:t>
      </w:r>
      <w:r w:rsidR="00DF7DC7">
        <w:rPr>
          <w:rFonts w:ascii="Segoe UI" w:hAnsi="Segoe UI" w:cs="Segoe UI"/>
        </w:rPr>
        <w:t xml:space="preserve">It is </w:t>
      </w:r>
      <w:r>
        <w:rPr>
          <w:rFonts w:ascii="Segoe UI" w:hAnsi="Segoe UI" w:cs="Segoe UI"/>
        </w:rPr>
        <w:t>credited with stimulating innovation</w:t>
      </w:r>
      <w:r w:rsidR="00A03451">
        <w:rPr>
          <w:rFonts w:ascii="Segoe UI" w:hAnsi="Segoe UI" w:cs="Segoe UI"/>
        </w:rPr>
        <w:t xml:space="preserve">, enhancing the commercial potential of research, </w:t>
      </w:r>
      <w:r w:rsidR="00DF7DC7">
        <w:rPr>
          <w:rFonts w:ascii="Segoe UI" w:hAnsi="Segoe UI" w:cs="Segoe UI"/>
        </w:rPr>
        <w:t xml:space="preserve">and helping to create new products, </w:t>
      </w:r>
      <w:r w:rsidR="00A03451">
        <w:rPr>
          <w:rFonts w:ascii="Segoe UI" w:hAnsi="Segoe UI" w:cs="Segoe UI"/>
        </w:rPr>
        <w:t xml:space="preserve">startups, and </w:t>
      </w:r>
      <w:r w:rsidR="00DF7DC7">
        <w:rPr>
          <w:rFonts w:ascii="Segoe UI" w:hAnsi="Segoe UI" w:cs="Segoe UI"/>
        </w:rPr>
        <w:t xml:space="preserve">jobs. </w:t>
      </w:r>
      <w:r>
        <w:rPr>
          <w:rFonts w:ascii="Segoe UI" w:hAnsi="Segoe UI" w:cs="Segoe UI"/>
        </w:rPr>
        <w:t xml:space="preserve"> . </w:t>
      </w:r>
    </w:p>
    <w:p w14:paraId="4EF5FC51" w14:textId="77777777" w:rsidR="00C5172F" w:rsidRDefault="00C5172F" w:rsidP="00C5172F">
      <w:pPr>
        <w:rPr>
          <w:rFonts w:ascii="Segoe UI" w:hAnsi="Segoe UI" w:cs="Segoe UI"/>
        </w:rPr>
      </w:pPr>
      <w:r>
        <w:rPr>
          <w:rFonts w:ascii="Segoe UI" w:hAnsi="Segoe UI" w:cs="Segoe UI"/>
        </w:rPr>
        <w:t xml:space="preserve">Before passage of </w:t>
      </w:r>
      <w:r w:rsidR="002B25E0">
        <w:rPr>
          <w:rFonts w:ascii="Segoe UI" w:hAnsi="Segoe UI" w:cs="Segoe UI"/>
        </w:rPr>
        <w:t xml:space="preserve">the </w:t>
      </w:r>
      <w:r>
        <w:rPr>
          <w:rFonts w:ascii="Segoe UI" w:hAnsi="Segoe UI" w:cs="Segoe UI"/>
        </w:rPr>
        <w:t>Bayh-Dole</w:t>
      </w:r>
      <w:r w:rsidR="002B25E0">
        <w:rPr>
          <w:rFonts w:ascii="Segoe UI" w:hAnsi="Segoe UI" w:cs="Segoe UI"/>
        </w:rPr>
        <w:t xml:space="preserve"> Act</w:t>
      </w:r>
      <w:r>
        <w:rPr>
          <w:rFonts w:ascii="Segoe UI" w:hAnsi="Segoe UI" w:cs="Segoe UI"/>
        </w:rPr>
        <w:t xml:space="preserve">, </w:t>
      </w:r>
      <w:r w:rsidR="00347983">
        <w:rPr>
          <w:rFonts w:ascii="Segoe UI" w:hAnsi="Segoe UI" w:cs="Segoe UI"/>
        </w:rPr>
        <w:t xml:space="preserve">title </w:t>
      </w:r>
      <w:r>
        <w:rPr>
          <w:rFonts w:ascii="Segoe UI" w:hAnsi="Segoe UI" w:cs="Segoe UI"/>
        </w:rPr>
        <w:t xml:space="preserve">to </w:t>
      </w:r>
      <w:r w:rsidR="00347983">
        <w:rPr>
          <w:rFonts w:ascii="Segoe UI" w:hAnsi="Segoe UI" w:cs="Segoe UI"/>
        </w:rPr>
        <w:t>innovations</w:t>
      </w:r>
      <w:r>
        <w:rPr>
          <w:rFonts w:ascii="Segoe UI" w:hAnsi="Segoe UI" w:cs="Segoe UI"/>
        </w:rPr>
        <w:t xml:space="preserve"> </w:t>
      </w:r>
      <w:r w:rsidR="002B25E0">
        <w:rPr>
          <w:rFonts w:ascii="Segoe UI" w:hAnsi="Segoe UI" w:cs="Segoe UI"/>
        </w:rPr>
        <w:t>developed with</w:t>
      </w:r>
      <w:r>
        <w:rPr>
          <w:rFonts w:ascii="Segoe UI" w:hAnsi="Segoe UI" w:cs="Segoe UI"/>
        </w:rPr>
        <w:t xml:space="preserve"> </w:t>
      </w:r>
      <w:r w:rsidR="002B25E0">
        <w:rPr>
          <w:rFonts w:ascii="Segoe UI" w:hAnsi="Segoe UI" w:cs="Segoe UI"/>
        </w:rPr>
        <w:t>f</w:t>
      </w:r>
      <w:r>
        <w:rPr>
          <w:rFonts w:ascii="Segoe UI" w:hAnsi="Segoe UI" w:cs="Segoe UI"/>
        </w:rPr>
        <w:t xml:space="preserve">ederal </w:t>
      </w:r>
      <w:r w:rsidR="002B25E0">
        <w:rPr>
          <w:rFonts w:ascii="Segoe UI" w:hAnsi="Segoe UI" w:cs="Segoe UI"/>
        </w:rPr>
        <w:t xml:space="preserve">funds </w:t>
      </w:r>
      <w:r>
        <w:rPr>
          <w:rFonts w:ascii="Segoe UI" w:hAnsi="Segoe UI" w:cs="Segoe UI"/>
        </w:rPr>
        <w:t xml:space="preserve">often </w:t>
      </w:r>
      <w:r w:rsidR="002D3FE9">
        <w:rPr>
          <w:rFonts w:ascii="Segoe UI" w:hAnsi="Segoe UI" w:cs="Segoe UI"/>
        </w:rPr>
        <w:t>remained</w:t>
      </w:r>
      <w:r>
        <w:rPr>
          <w:rFonts w:ascii="Segoe UI" w:hAnsi="Segoe UI" w:cs="Segoe UI"/>
        </w:rPr>
        <w:t xml:space="preserve"> with the government, </w:t>
      </w:r>
      <w:r w:rsidR="00347983">
        <w:rPr>
          <w:rFonts w:ascii="Segoe UI" w:hAnsi="Segoe UI" w:cs="Segoe UI"/>
        </w:rPr>
        <w:t xml:space="preserve">and </w:t>
      </w:r>
      <w:r>
        <w:rPr>
          <w:rFonts w:ascii="Segoe UI" w:hAnsi="Segoe UI" w:cs="Segoe UI"/>
        </w:rPr>
        <w:t xml:space="preserve">agencies had </w:t>
      </w:r>
      <w:r w:rsidR="002B25E0">
        <w:rPr>
          <w:rFonts w:ascii="Segoe UI" w:hAnsi="Segoe UI" w:cs="Segoe UI"/>
        </w:rPr>
        <w:t xml:space="preserve">inconsistent </w:t>
      </w:r>
      <w:r>
        <w:rPr>
          <w:rFonts w:ascii="Segoe UI" w:hAnsi="Segoe UI" w:cs="Segoe UI"/>
        </w:rPr>
        <w:t xml:space="preserve">policies </w:t>
      </w:r>
      <w:r w:rsidR="00347983">
        <w:rPr>
          <w:rFonts w:ascii="Segoe UI" w:hAnsi="Segoe UI" w:cs="Segoe UI"/>
        </w:rPr>
        <w:t>regarding</w:t>
      </w:r>
      <w:r>
        <w:rPr>
          <w:rFonts w:ascii="Segoe UI" w:hAnsi="Segoe UI" w:cs="Segoe UI"/>
        </w:rPr>
        <w:t xml:space="preserve"> licensing and use of technologies by firms and </w:t>
      </w:r>
      <w:r w:rsidR="002D3FE9">
        <w:rPr>
          <w:rFonts w:ascii="Segoe UI" w:hAnsi="Segoe UI" w:cs="Segoe UI"/>
        </w:rPr>
        <w:t>entrepreneurs</w:t>
      </w:r>
      <w:r>
        <w:rPr>
          <w:rFonts w:ascii="Segoe UI" w:hAnsi="Segoe UI" w:cs="Segoe UI"/>
        </w:rPr>
        <w:t xml:space="preserve">.  </w:t>
      </w:r>
      <w:r w:rsidR="00347983">
        <w:rPr>
          <w:rFonts w:ascii="Segoe UI" w:hAnsi="Segoe UI" w:cs="Segoe UI"/>
        </w:rPr>
        <w:t xml:space="preserve">One major objective </w:t>
      </w:r>
      <w:r>
        <w:rPr>
          <w:rFonts w:ascii="Segoe UI" w:hAnsi="Segoe UI" w:cs="Segoe UI"/>
        </w:rPr>
        <w:t xml:space="preserve">of </w:t>
      </w:r>
      <w:r w:rsidR="002B25E0">
        <w:rPr>
          <w:rFonts w:ascii="Segoe UI" w:hAnsi="Segoe UI" w:cs="Segoe UI"/>
        </w:rPr>
        <w:t>legislation</w:t>
      </w:r>
      <w:r>
        <w:rPr>
          <w:rFonts w:ascii="Segoe UI" w:hAnsi="Segoe UI" w:cs="Segoe UI"/>
        </w:rPr>
        <w:t xml:space="preserve"> was to encourage the transfer of technology from lab to market and improve economic and innovation outcomes.  Universities, in particular, benefit because they </w:t>
      </w:r>
      <w:r w:rsidR="00A03451">
        <w:rPr>
          <w:rFonts w:ascii="Segoe UI" w:hAnsi="Segoe UI" w:cs="Segoe UI"/>
        </w:rPr>
        <w:t xml:space="preserve">are </w:t>
      </w:r>
      <w:r>
        <w:rPr>
          <w:rFonts w:ascii="Segoe UI" w:hAnsi="Segoe UI" w:cs="Segoe UI"/>
        </w:rPr>
        <w:t xml:space="preserve">able to retain rights to inventions funded by </w:t>
      </w:r>
      <w:r w:rsidR="00A03451">
        <w:rPr>
          <w:rFonts w:ascii="Segoe UI" w:hAnsi="Segoe UI" w:cs="Segoe UI"/>
        </w:rPr>
        <w:t>f</w:t>
      </w:r>
      <w:r>
        <w:rPr>
          <w:rFonts w:ascii="Segoe UI" w:hAnsi="Segoe UI" w:cs="Segoe UI"/>
        </w:rPr>
        <w:t xml:space="preserve">ederal dollars and subsequently license those technologies to spinoffs and other firms. </w:t>
      </w:r>
      <w:r w:rsidR="00987026">
        <w:rPr>
          <w:rFonts w:ascii="Segoe UI" w:hAnsi="Segoe UI" w:cs="Segoe UI"/>
        </w:rPr>
        <w:t>Small firms</w:t>
      </w:r>
      <w:r w:rsidR="00D74389">
        <w:rPr>
          <w:rFonts w:ascii="Segoe UI" w:hAnsi="Segoe UI" w:cs="Segoe UI"/>
        </w:rPr>
        <w:t>, through funding programs such as Small Business Innovation Research (SBIR) and Small Business Technology Transfer (STTR),</w:t>
      </w:r>
      <w:r w:rsidR="00987026">
        <w:rPr>
          <w:rFonts w:ascii="Segoe UI" w:hAnsi="Segoe UI" w:cs="Segoe UI"/>
        </w:rPr>
        <w:t xml:space="preserve"> too</w:t>
      </w:r>
      <w:r w:rsidR="00D74389">
        <w:rPr>
          <w:rFonts w:ascii="Segoe UI" w:hAnsi="Segoe UI" w:cs="Segoe UI"/>
        </w:rPr>
        <w:t>,</w:t>
      </w:r>
      <w:r w:rsidR="00987026">
        <w:rPr>
          <w:rFonts w:ascii="Segoe UI" w:hAnsi="Segoe UI" w:cs="Segoe UI"/>
        </w:rPr>
        <w:t xml:space="preserve"> </w:t>
      </w:r>
      <w:r w:rsidR="002B25E0">
        <w:rPr>
          <w:rFonts w:ascii="Segoe UI" w:hAnsi="Segoe UI" w:cs="Segoe UI"/>
        </w:rPr>
        <w:t>can better leverage</w:t>
      </w:r>
      <w:r w:rsidR="00987026">
        <w:rPr>
          <w:rFonts w:ascii="Segoe UI" w:hAnsi="Segoe UI" w:cs="Segoe UI"/>
        </w:rPr>
        <w:t xml:space="preserve"> inventions supported by </w:t>
      </w:r>
      <w:r w:rsidR="002B25E0">
        <w:rPr>
          <w:rFonts w:ascii="Segoe UI" w:hAnsi="Segoe UI" w:cs="Segoe UI"/>
        </w:rPr>
        <w:t>f</w:t>
      </w:r>
      <w:r w:rsidR="00987026">
        <w:rPr>
          <w:rFonts w:ascii="Segoe UI" w:hAnsi="Segoe UI" w:cs="Segoe UI"/>
        </w:rPr>
        <w:t xml:space="preserve">ederal R&amp;D funding to grow their businesses. </w:t>
      </w:r>
    </w:p>
    <w:p w14:paraId="4DDD7BC7" w14:textId="77777777" w:rsidR="005158EA" w:rsidRDefault="00C5172F" w:rsidP="005158EA">
      <w:pPr>
        <w:rPr>
          <w:rFonts w:ascii="Segoe UI" w:hAnsi="Segoe UI" w:cs="Segoe UI"/>
        </w:rPr>
      </w:pPr>
      <w:r>
        <w:rPr>
          <w:rFonts w:ascii="Segoe UI" w:hAnsi="Segoe UI" w:cs="Segoe UI"/>
        </w:rPr>
        <w:t xml:space="preserve">Importantly, </w:t>
      </w:r>
      <w:r w:rsidR="00347983">
        <w:rPr>
          <w:rFonts w:ascii="Segoe UI" w:hAnsi="Segoe UI" w:cs="Segoe UI"/>
        </w:rPr>
        <w:t>t</w:t>
      </w:r>
      <w:r w:rsidR="00347983" w:rsidRPr="00347983">
        <w:rPr>
          <w:rFonts w:ascii="Segoe UI" w:hAnsi="Segoe UI" w:cs="Segoe UI"/>
        </w:rPr>
        <w:t>o retain title under the Bayh-Dole Act, an entity</w:t>
      </w:r>
      <w:r w:rsidR="00347983">
        <w:rPr>
          <w:rFonts w:ascii="Segoe UI" w:hAnsi="Segoe UI" w:cs="Segoe UI"/>
        </w:rPr>
        <w:t xml:space="preserve"> must, among other obligations, </w:t>
      </w:r>
      <w:r w:rsidR="00347983" w:rsidRPr="00347983">
        <w:rPr>
          <w:rFonts w:ascii="Segoe UI" w:hAnsi="Segoe UI" w:cs="Segoe UI"/>
        </w:rPr>
        <w:t xml:space="preserve">timely file a US patent application </w:t>
      </w:r>
      <w:r w:rsidR="00347983">
        <w:rPr>
          <w:rFonts w:ascii="Segoe UI" w:hAnsi="Segoe UI" w:cs="Segoe UI"/>
        </w:rPr>
        <w:t xml:space="preserve">with the USPTO </w:t>
      </w:r>
      <w:r w:rsidR="00347983" w:rsidRPr="00347983">
        <w:rPr>
          <w:rFonts w:ascii="Segoe UI" w:hAnsi="Segoe UI" w:cs="Segoe UI"/>
        </w:rPr>
        <w:t xml:space="preserve">in which they disclose a </w:t>
      </w:r>
      <w:r w:rsidR="005158EA">
        <w:rPr>
          <w:rFonts w:ascii="Segoe UI" w:hAnsi="Segoe UI" w:cs="Segoe UI"/>
        </w:rPr>
        <w:t>“</w:t>
      </w:r>
      <w:r w:rsidR="00347983" w:rsidRPr="002B25E0">
        <w:rPr>
          <w:rFonts w:ascii="Segoe UI" w:hAnsi="Segoe UI" w:cs="Segoe UI"/>
        </w:rPr>
        <w:t>government interest</w:t>
      </w:r>
      <w:r w:rsidR="005158EA">
        <w:rPr>
          <w:rFonts w:ascii="Segoe UI" w:hAnsi="Segoe UI" w:cs="Segoe UI"/>
        </w:rPr>
        <w:t>”</w:t>
      </w:r>
      <w:r w:rsidR="00347983" w:rsidRPr="00347983">
        <w:rPr>
          <w:rFonts w:ascii="Segoe UI" w:hAnsi="Segoe UI" w:cs="Segoe UI"/>
        </w:rPr>
        <w:t xml:space="preserve"> in their </w:t>
      </w:r>
      <w:r w:rsidR="00347983">
        <w:rPr>
          <w:rFonts w:ascii="Segoe UI" w:hAnsi="Segoe UI" w:cs="Segoe UI"/>
        </w:rPr>
        <w:t xml:space="preserve">invention. </w:t>
      </w:r>
      <w:r w:rsidR="00347983" w:rsidRPr="00347983">
        <w:rPr>
          <w:rFonts w:ascii="Segoe UI" w:hAnsi="Segoe UI" w:cs="Segoe UI"/>
        </w:rPr>
        <w:t xml:space="preserve">Generally, a </w:t>
      </w:r>
      <w:r w:rsidR="005158EA">
        <w:rPr>
          <w:rFonts w:ascii="Segoe UI" w:hAnsi="Segoe UI" w:cs="Segoe UI"/>
        </w:rPr>
        <w:t>“</w:t>
      </w:r>
      <w:r w:rsidR="00347983" w:rsidRPr="00347983">
        <w:rPr>
          <w:rFonts w:ascii="Segoe UI" w:hAnsi="Segoe UI" w:cs="Segoe UI"/>
        </w:rPr>
        <w:t>government interest statement</w:t>
      </w:r>
      <w:r w:rsidR="005158EA">
        <w:rPr>
          <w:rFonts w:ascii="Segoe UI" w:hAnsi="Segoe UI" w:cs="Segoe UI"/>
        </w:rPr>
        <w:t>”</w:t>
      </w:r>
      <w:r w:rsidR="00347983" w:rsidRPr="00347983">
        <w:rPr>
          <w:rFonts w:ascii="Segoe UI" w:hAnsi="Segoe UI" w:cs="Segoe UI"/>
        </w:rPr>
        <w:t xml:space="preserve"> s</w:t>
      </w:r>
      <w:r w:rsidR="00347983">
        <w:rPr>
          <w:rFonts w:ascii="Segoe UI" w:hAnsi="Segoe UI" w:cs="Segoe UI"/>
        </w:rPr>
        <w:t xml:space="preserve">pecifies that </w:t>
      </w:r>
      <w:r>
        <w:rPr>
          <w:rFonts w:ascii="Segoe UI" w:hAnsi="Segoe UI" w:cs="Segoe UI"/>
        </w:rPr>
        <w:t xml:space="preserve">the invention was funded – at least in part – by a </w:t>
      </w:r>
      <w:r w:rsidR="002B25E0">
        <w:rPr>
          <w:rFonts w:ascii="Segoe UI" w:hAnsi="Segoe UI" w:cs="Segoe UI"/>
        </w:rPr>
        <w:t>f</w:t>
      </w:r>
      <w:r>
        <w:rPr>
          <w:rFonts w:ascii="Segoe UI" w:hAnsi="Segoe UI" w:cs="Segoe UI"/>
        </w:rPr>
        <w:t xml:space="preserve">ederal research </w:t>
      </w:r>
      <w:r w:rsidR="002B25E0">
        <w:rPr>
          <w:rFonts w:ascii="Segoe UI" w:hAnsi="Segoe UI" w:cs="Segoe UI"/>
        </w:rPr>
        <w:t xml:space="preserve">grant </w:t>
      </w:r>
      <w:r>
        <w:rPr>
          <w:rFonts w:ascii="Segoe UI" w:hAnsi="Segoe UI" w:cs="Segoe UI"/>
        </w:rPr>
        <w:t xml:space="preserve">or </w:t>
      </w:r>
      <w:r w:rsidR="002B25E0">
        <w:rPr>
          <w:rFonts w:ascii="Segoe UI" w:hAnsi="Segoe UI" w:cs="Segoe UI"/>
        </w:rPr>
        <w:t xml:space="preserve">procurement </w:t>
      </w:r>
      <w:r w:rsidR="005158EA">
        <w:rPr>
          <w:rFonts w:ascii="Segoe UI" w:hAnsi="Segoe UI" w:cs="Segoe UI"/>
        </w:rPr>
        <w:t>contract</w:t>
      </w:r>
      <w:r>
        <w:rPr>
          <w:rFonts w:ascii="Segoe UI" w:hAnsi="Segoe UI" w:cs="Segoe UI"/>
        </w:rPr>
        <w:t>.</w:t>
      </w:r>
      <w:r w:rsidR="005158EA">
        <w:rPr>
          <w:rStyle w:val="FootnoteReference"/>
          <w:rFonts w:ascii="Segoe UI" w:hAnsi="Segoe UI" w:cs="Segoe UI"/>
        </w:rPr>
        <w:footnoteReference w:id="3"/>
      </w:r>
      <w:r w:rsidR="005158EA">
        <w:rPr>
          <w:rFonts w:ascii="Segoe UI" w:hAnsi="Segoe UI" w:cs="Segoe UI"/>
        </w:rPr>
        <w:t xml:space="preserve"> </w:t>
      </w:r>
      <w:r>
        <w:rPr>
          <w:rFonts w:ascii="Segoe UI" w:hAnsi="Segoe UI" w:cs="Segoe UI"/>
        </w:rPr>
        <w:t xml:space="preserve">While often overlooked, the government interest statement provides an explicit paper trail to track inventions flowing from </w:t>
      </w:r>
      <w:r w:rsidR="005158EA">
        <w:rPr>
          <w:rFonts w:ascii="Segoe UI" w:hAnsi="Segoe UI" w:cs="Segoe UI"/>
        </w:rPr>
        <w:t>f</w:t>
      </w:r>
      <w:r>
        <w:rPr>
          <w:rFonts w:ascii="Segoe UI" w:hAnsi="Segoe UI" w:cs="Segoe UI"/>
        </w:rPr>
        <w:t>ederal research</w:t>
      </w:r>
      <w:r w:rsidR="005158EA">
        <w:rPr>
          <w:rFonts w:ascii="Segoe UI" w:hAnsi="Segoe UI" w:cs="Segoe UI"/>
        </w:rPr>
        <w:t xml:space="preserve"> dollars</w:t>
      </w:r>
      <w:r>
        <w:rPr>
          <w:rFonts w:ascii="Segoe UI" w:hAnsi="Segoe UI" w:cs="Segoe UI"/>
        </w:rPr>
        <w:t>.</w:t>
      </w:r>
      <w:r w:rsidR="005158EA">
        <w:rPr>
          <w:rFonts w:ascii="Segoe UI" w:hAnsi="Segoe UI" w:cs="Segoe UI"/>
        </w:rPr>
        <w:t xml:space="preserve"> </w:t>
      </w:r>
      <w:r w:rsidR="005158EA" w:rsidRPr="00347983">
        <w:rPr>
          <w:rFonts w:ascii="Segoe UI" w:hAnsi="Segoe UI" w:cs="Segoe UI"/>
        </w:rPr>
        <w:t xml:space="preserve">This issue brief examines the </w:t>
      </w:r>
      <w:r w:rsidR="005158EA">
        <w:rPr>
          <w:rFonts w:ascii="Segoe UI" w:hAnsi="Segoe UI" w:cs="Segoe UI"/>
        </w:rPr>
        <w:t xml:space="preserve">granted </w:t>
      </w:r>
      <w:r w:rsidR="005158EA" w:rsidRPr="00347983">
        <w:rPr>
          <w:rFonts w:ascii="Segoe UI" w:hAnsi="Segoe UI" w:cs="Segoe UI"/>
        </w:rPr>
        <w:t xml:space="preserve">patents that contain such government interest statements (hereafter “government interest patents”) and explores their growth in the </w:t>
      </w:r>
      <w:r w:rsidR="005158EA">
        <w:rPr>
          <w:rFonts w:ascii="Segoe UI" w:hAnsi="Segoe UI" w:cs="Segoe UI"/>
        </w:rPr>
        <w:t xml:space="preserve">near </w:t>
      </w:r>
      <w:r w:rsidR="005158EA" w:rsidRPr="00347983">
        <w:rPr>
          <w:rFonts w:ascii="Segoe UI" w:hAnsi="Segoe UI" w:cs="Segoe UI"/>
        </w:rPr>
        <w:t>forty years since enactment of Bayh-Dole.</w:t>
      </w:r>
    </w:p>
    <w:p w14:paraId="44E25EA7" w14:textId="77777777" w:rsidR="00C5172F" w:rsidRDefault="005158EA" w:rsidP="00C5172F">
      <w:pPr>
        <w:rPr>
          <w:rFonts w:ascii="Segoe UI" w:hAnsi="Segoe UI" w:cs="Segoe UI"/>
        </w:rPr>
      </w:pPr>
      <w:r>
        <w:rPr>
          <w:rFonts w:ascii="Segoe UI" w:hAnsi="Segoe UI" w:cs="Segoe UI"/>
        </w:rPr>
        <w:t>The analysis is utilize government interest statement data from PatentsView (</w:t>
      </w:r>
      <w:hyperlink r:id="rId10" w:history="1">
        <w:r w:rsidRPr="00F6717C">
          <w:rPr>
            <w:rStyle w:val="Hyperlink"/>
            <w:rFonts w:ascii="Segoe UI" w:hAnsi="Segoe UI" w:cs="Segoe UI"/>
          </w:rPr>
          <w:t>www.patentsview.org)</w:t>
        </w:r>
      </w:hyperlink>
      <w:r w:rsidRPr="009B0BB2">
        <w:rPr>
          <w:rFonts w:ascii="Segoe UI" w:hAnsi="Segoe UI" w:cs="Segoe UI"/>
        </w:rPr>
        <w:t xml:space="preserve">, a web-based </w:t>
      </w:r>
      <w:r w:rsidRPr="006E6147">
        <w:rPr>
          <w:rFonts w:ascii="Segoe UI" w:hAnsi="Segoe UI" w:cs="Segoe UI"/>
        </w:rPr>
        <w:t xml:space="preserve">data visualization and analysis platform </w:t>
      </w:r>
      <w:r w:rsidRPr="009B0BB2">
        <w:rPr>
          <w:rFonts w:ascii="Segoe UI" w:hAnsi="Segoe UI" w:cs="Segoe UI"/>
        </w:rPr>
        <w:t xml:space="preserve">supported by </w:t>
      </w:r>
      <w:r>
        <w:rPr>
          <w:rFonts w:ascii="Segoe UI" w:hAnsi="Segoe UI" w:cs="Segoe UI"/>
        </w:rPr>
        <w:t>United States Patent and Trademark (USPTO)</w:t>
      </w:r>
      <w:r w:rsidRPr="009B0BB2">
        <w:rPr>
          <w:rFonts w:ascii="Segoe UI" w:hAnsi="Segoe UI" w:cs="Segoe UI"/>
        </w:rPr>
        <w:t xml:space="preserve"> Office of the Chief Economist (OCE). </w:t>
      </w:r>
      <w:r w:rsidR="00C5172F">
        <w:rPr>
          <w:rFonts w:ascii="Segoe UI" w:hAnsi="Segoe UI" w:cs="Segoe UI"/>
        </w:rPr>
        <w:t>Government interest s</w:t>
      </w:r>
      <w:r w:rsidR="00987026">
        <w:rPr>
          <w:rFonts w:ascii="Segoe UI" w:hAnsi="Segoe UI" w:cs="Segoe UI"/>
        </w:rPr>
        <w:t xml:space="preserve">tatements appear </w:t>
      </w:r>
      <w:r>
        <w:rPr>
          <w:rFonts w:ascii="Segoe UI" w:hAnsi="Segoe UI" w:cs="Segoe UI"/>
        </w:rPr>
        <w:t xml:space="preserve">as </w:t>
      </w:r>
      <w:r w:rsidR="00987026">
        <w:rPr>
          <w:rFonts w:ascii="Segoe UI" w:hAnsi="Segoe UI" w:cs="Segoe UI"/>
        </w:rPr>
        <w:t>plain text</w:t>
      </w:r>
      <w:r>
        <w:rPr>
          <w:rFonts w:ascii="Segoe UI" w:hAnsi="Segoe UI" w:cs="Segoe UI"/>
        </w:rPr>
        <w:t xml:space="preserve"> on the face of a patent grant document</w:t>
      </w:r>
      <w:r w:rsidR="00987026">
        <w:rPr>
          <w:rFonts w:ascii="Segoe UI" w:hAnsi="Segoe UI" w:cs="Segoe UI"/>
        </w:rPr>
        <w:t>. A</w:t>
      </w:r>
      <w:r w:rsidR="00C5172F">
        <w:rPr>
          <w:rFonts w:ascii="Segoe UI" w:hAnsi="Segoe UI" w:cs="Segoe UI"/>
        </w:rPr>
        <w:t xml:space="preserve">s part of </w:t>
      </w:r>
      <w:r w:rsidR="00987026">
        <w:rPr>
          <w:rFonts w:ascii="Segoe UI" w:hAnsi="Segoe UI" w:cs="Segoe UI"/>
        </w:rPr>
        <w:t xml:space="preserve">the </w:t>
      </w:r>
      <w:r w:rsidR="00C5172F">
        <w:rPr>
          <w:rFonts w:ascii="Segoe UI" w:hAnsi="Segoe UI" w:cs="Segoe UI"/>
        </w:rPr>
        <w:t>PatentsView data processing</w:t>
      </w:r>
      <w:r w:rsidR="00987026">
        <w:rPr>
          <w:rFonts w:ascii="Segoe UI" w:hAnsi="Segoe UI" w:cs="Segoe UI"/>
        </w:rPr>
        <w:t xml:space="preserve"> pipeline</w:t>
      </w:r>
      <w:r w:rsidR="00C5172F">
        <w:rPr>
          <w:rFonts w:ascii="Segoe UI" w:hAnsi="Segoe UI" w:cs="Segoe UI"/>
        </w:rPr>
        <w:t>, th</w:t>
      </w:r>
      <w:r>
        <w:rPr>
          <w:rFonts w:ascii="Segoe UI" w:hAnsi="Segoe UI" w:cs="Segoe UI"/>
        </w:rPr>
        <w:t>is</w:t>
      </w:r>
      <w:r w:rsidR="00C5172F">
        <w:rPr>
          <w:rFonts w:ascii="Segoe UI" w:hAnsi="Segoe UI" w:cs="Segoe UI"/>
        </w:rPr>
        <w:t xml:space="preserve"> raw text is parsed to identify government organizations, such as the Department of Defense and the National Institutes of Health (NIH).  These organizations are then organized in a </w:t>
      </w:r>
      <w:r w:rsidR="002D3FE9">
        <w:rPr>
          <w:rFonts w:ascii="Segoe UI" w:hAnsi="Segoe UI" w:cs="Segoe UI"/>
        </w:rPr>
        <w:t>hierarchy</w:t>
      </w:r>
      <w:r w:rsidR="00C5172F">
        <w:rPr>
          <w:rFonts w:ascii="Segoe UI" w:hAnsi="Segoe UI" w:cs="Segoe UI"/>
        </w:rPr>
        <w:t xml:space="preserve"> reflecting the current structure of the government; for example, NIH </w:t>
      </w:r>
      <w:r w:rsidR="00152F73">
        <w:rPr>
          <w:rFonts w:ascii="Segoe UI" w:hAnsi="Segoe UI" w:cs="Segoe UI"/>
        </w:rPr>
        <w:t xml:space="preserve">currently falls </w:t>
      </w:r>
      <w:r w:rsidR="00C5172F">
        <w:rPr>
          <w:rFonts w:ascii="Segoe UI" w:hAnsi="Segoe UI" w:cs="Segoe UI"/>
        </w:rPr>
        <w:t xml:space="preserve">under the Department of Health and Human Services (DHHS). </w:t>
      </w:r>
      <w:r>
        <w:rPr>
          <w:rFonts w:ascii="Segoe UI" w:hAnsi="Segoe UI" w:cs="Segoe UI"/>
        </w:rPr>
        <w:t>D</w:t>
      </w:r>
      <w:r w:rsidR="00C5172F">
        <w:rPr>
          <w:rFonts w:ascii="Segoe UI" w:hAnsi="Segoe UI" w:cs="Segoe UI"/>
        </w:rPr>
        <w:t xml:space="preserve">etails on the data and method may be found in Appendix A. </w:t>
      </w:r>
    </w:p>
    <w:p w14:paraId="3B5612F2" w14:textId="77777777" w:rsidR="00C5172F" w:rsidRPr="00EC3F9E" w:rsidRDefault="00C5172F" w:rsidP="00C5172F">
      <w:pPr>
        <w:rPr>
          <w:rFonts w:ascii="Segoe UI" w:hAnsi="Segoe UI" w:cs="Segoe UI"/>
        </w:rPr>
      </w:pPr>
      <w:r w:rsidRPr="00EC3F9E">
        <w:rPr>
          <w:rFonts w:ascii="Segoe UI" w:hAnsi="Segoe UI" w:cs="Segoe UI"/>
        </w:rPr>
        <w:t xml:space="preserve"> </w:t>
      </w:r>
    </w:p>
    <w:p w14:paraId="7021A56D" w14:textId="77777777" w:rsidR="00C5172F" w:rsidRPr="006C41BD" w:rsidRDefault="00816882" w:rsidP="00C5172F">
      <w:pPr>
        <w:rPr>
          <w:rFonts w:ascii="Cambria" w:hAnsi="Cambria" w:cs="Segoe UI"/>
          <w:b/>
          <w:sz w:val="28"/>
        </w:rPr>
      </w:pPr>
      <w:r>
        <w:rPr>
          <w:rFonts w:ascii="Cambria" w:hAnsi="Cambria" w:cs="Segoe UI"/>
          <w:b/>
          <w:sz w:val="28"/>
        </w:rPr>
        <w:t xml:space="preserve">Patented </w:t>
      </w:r>
      <w:r w:rsidR="00C5172F" w:rsidRPr="006C41BD">
        <w:rPr>
          <w:rFonts w:ascii="Cambria" w:hAnsi="Cambria" w:cs="Segoe UI"/>
          <w:b/>
          <w:sz w:val="28"/>
        </w:rPr>
        <w:t>Inventions from Federally-</w:t>
      </w:r>
      <w:r w:rsidR="00152F73">
        <w:rPr>
          <w:rFonts w:ascii="Cambria" w:hAnsi="Cambria" w:cs="Segoe UI"/>
          <w:b/>
          <w:sz w:val="28"/>
        </w:rPr>
        <w:t>S</w:t>
      </w:r>
      <w:r w:rsidR="00C5172F" w:rsidRPr="006C41BD">
        <w:rPr>
          <w:rFonts w:ascii="Cambria" w:hAnsi="Cambria" w:cs="Segoe UI"/>
          <w:b/>
          <w:sz w:val="28"/>
        </w:rPr>
        <w:t xml:space="preserve">upported R&amp;D </w:t>
      </w:r>
      <w:r w:rsidR="00152F73">
        <w:rPr>
          <w:rFonts w:ascii="Cambria" w:hAnsi="Cambria" w:cs="Segoe UI"/>
          <w:b/>
          <w:sz w:val="28"/>
        </w:rPr>
        <w:t>S</w:t>
      </w:r>
      <w:r w:rsidR="00C5172F" w:rsidRPr="006C41BD">
        <w:rPr>
          <w:rFonts w:ascii="Cambria" w:hAnsi="Cambria" w:cs="Segoe UI"/>
          <w:b/>
          <w:sz w:val="28"/>
        </w:rPr>
        <w:t xml:space="preserve">how </w:t>
      </w:r>
      <w:r w:rsidR="00152F73">
        <w:rPr>
          <w:rFonts w:ascii="Cambria" w:hAnsi="Cambria" w:cs="Segoe UI"/>
          <w:b/>
          <w:sz w:val="28"/>
        </w:rPr>
        <w:t>S</w:t>
      </w:r>
      <w:r w:rsidR="00C5172F" w:rsidRPr="006C41BD">
        <w:rPr>
          <w:rFonts w:ascii="Cambria" w:hAnsi="Cambria" w:cs="Segoe UI"/>
          <w:b/>
          <w:sz w:val="28"/>
        </w:rPr>
        <w:t xml:space="preserve">trong </w:t>
      </w:r>
      <w:r w:rsidR="00152F73">
        <w:rPr>
          <w:rFonts w:ascii="Cambria" w:hAnsi="Cambria" w:cs="Segoe UI"/>
          <w:b/>
          <w:sz w:val="28"/>
        </w:rPr>
        <w:t>Growth in Recent Years</w:t>
      </w:r>
    </w:p>
    <w:p w14:paraId="55D44CCB" w14:textId="77777777" w:rsidR="00C5172F" w:rsidRPr="00FB3ED7" w:rsidRDefault="00C5172F" w:rsidP="00C5172F">
      <w:pPr>
        <w:rPr>
          <w:rFonts w:ascii="Segoe UI" w:hAnsi="Segoe UI" w:cs="Segoe UI"/>
        </w:rPr>
      </w:pPr>
      <w:r w:rsidRPr="00FB3ED7">
        <w:rPr>
          <w:rFonts w:ascii="Segoe UI" w:hAnsi="Segoe UI" w:cs="Segoe UI"/>
        </w:rPr>
        <w:t xml:space="preserve">Figure 1 </w:t>
      </w:r>
      <w:r w:rsidR="00F13918">
        <w:rPr>
          <w:rFonts w:ascii="Segoe UI" w:hAnsi="Segoe UI" w:cs="Segoe UI"/>
        </w:rPr>
        <w:t>depicts</w:t>
      </w:r>
      <w:r w:rsidR="00F13918" w:rsidRPr="00FB3ED7">
        <w:rPr>
          <w:rFonts w:ascii="Segoe UI" w:hAnsi="Segoe UI" w:cs="Segoe UI"/>
        </w:rPr>
        <w:t xml:space="preserve"> </w:t>
      </w:r>
      <w:r w:rsidRPr="00FB3ED7">
        <w:rPr>
          <w:rFonts w:ascii="Segoe UI" w:hAnsi="Segoe UI" w:cs="Segoe UI"/>
        </w:rPr>
        <w:t xml:space="preserve">trends in </w:t>
      </w:r>
      <w:r w:rsidR="00152F73">
        <w:rPr>
          <w:rFonts w:ascii="Segoe UI" w:hAnsi="Segoe UI" w:cs="Segoe UI"/>
        </w:rPr>
        <w:t>f</w:t>
      </w:r>
      <w:r w:rsidRPr="00FB3ED7">
        <w:rPr>
          <w:rFonts w:ascii="Segoe UI" w:hAnsi="Segoe UI" w:cs="Segoe UI"/>
        </w:rPr>
        <w:t>ederal funding of R&amp;D, overall patenting,</w:t>
      </w:r>
      <w:r w:rsidR="00590E92">
        <w:rPr>
          <w:rFonts w:ascii="Segoe UI" w:hAnsi="Segoe UI" w:cs="Segoe UI"/>
        </w:rPr>
        <w:t xml:space="preserve"> and</w:t>
      </w:r>
      <w:r w:rsidRPr="00FB3ED7">
        <w:rPr>
          <w:rFonts w:ascii="Segoe UI" w:hAnsi="Segoe UI" w:cs="Segoe UI"/>
        </w:rPr>
        <w:t xml:space="preserve"> government interest patents </w:t>
      </w:r>
      <w:r w:rsidR="00152F73">
        <w:rPr>
          <w:rFonts w:ascii="Segoe UI" w:hAnsi="Segoe UI" w:cs="Segoe UI"/>
        </w:rPr>
        <w:t>for the</w:t>
      </w:r>
      <w:r w:rsidR="00152F73" w:rsidRPr="00FB3ED7">
        <w:rPr>
          <w:rFonts w:ascii="Segoe UI" w:hAnsi="Segoe UI" w:cs="Segoe UI"/>
        </w:rPr>
        <w:t xml:space="preserve"> </w:t>
      </w:r>
      <w:r w:rsidRPr="00FB3ED7">
        <w:rPr>
          <w:rFonts w:ascii="Segoe UI" w:hAnsi="Segoe UI" w:cs="Segoe UI"/>
        </w:rPr>
        <w:t>1980-</w:t>
      </w:r>
      <w:r w:rsidRPr="00A045D6">
        <w:rPr>
          <w:rFonts w:ascii="Segoe UI" w:hAnsi="Segoe UI" w:cs="Segoe UI"/>
        </w:rPr>
        <w:t>201</w:t>
      </w:r>
      <w:r w:rsidR="00776A41" w:rsidRPr="00A045D6">
        <w:rPr>
          <w:rFonts w:ascii="Segoe UI" w:hAnsi="Segoe UI" w:cs="Segoe UI"/>
        </w:rPr>
        <w:t>7</w:t>
      </w:r>
      <w:r w:rsidR="00152F73">
        <w:rPr>
          <w:rFonts w:ascii="Segoe UI" w:hAnsi="Segoe UI" w:cs="Segoe UI"/>
        </w:rPr>
        <w:t xml:space="preserve"> period</w:t>
      </w:r>
      <w:r w:rsidRPr="00FB3ED7">
        <w:rPr>
          <w:rFonts w:ascii="Segoe UI" w:hAnsi="Segoe UI" w:cs="Segoe UI"/>
        </w:rPr>
        <w:t>.</w:t>
      </w:r>
      <w:r w:rsidR="00F13918">
        <w:rPr>
          <w:rFonts w:ascii="Segoe UI" w:hAnsi="Segoe UI" w:cs="Segoe UI"/>
        </w:rPr>
        <w:t xml:space="preserve"> To enable visual comparison of the trends, Figure 1 shows the index value, normalized to 100 for each series in 1980</w:t>
      </w:r>
      <w:r w:rsidR="005D664C">
        <w:rPr>
          <w:rFonts w:ascii="Segoe UI" w:hAnsi="Segoe UI" w:cs="Segoe UI"/>
        </w:rPr>
        <w:t xml:space="preserve"> (see Appendix B for actual values)</w:t>
      </w:r>
      <w:r w:rsidR="00F13918">
        <w:rPr>
          <w:rFonts w:ascii="Segoe UI" w:hAnsi="Segoe UI" w:cs="Segoe UI"/>
        </w:rPr>
        <w:t xml:space="preserve">. </w:t>
      </w:r>
    </w:p>
    <w:p w14:paraId="4C92EDDF" w14:textId="77777777" w:rsidR="005D664C" w:rsidRDefault="00152F73" w:rsidP="00C5172F">
      <w:pPr>
        <w:rPr>
          <w:rFonts w:ascii="Segoe UI" w:hAnsi="Segoe UI" w:cs="Segoe UI"/>
        </w:rPr>
      </w:pPr>
      <w:r>
        <w:rPr>
          <w:rFonts w:ascii="Segoe UI" w:hAnsi="Segoe UI" w:cs="Segoe UI"/>
        </w:rPr>
        <w:t>T</w:t>
      </w:r>
      <w:r w:rsidR="00C5172F" w:rsidRPr="00FB3ED7">
        <w:rPr>
          <w:rFonts w:ascii="Segoe UI" w:hAnsi="Segoe UI" w:cs="Segoe UI"/>
        </w:rPr>
        <w:t>he U</w:t>
      </w:r>
      <w:r>
        <w:rPr>
          <w:rFonts w:ascii="Segoe UI" w:hAnsi="Segoe UI" w:cs="Segoe UI"/>
        </w:rPr>
        <w:t>.</w:t>
      </w:r>
      <w:r w:rsidR="00C5172F" w:rsidRPr="00FB3ED7">
        <w:rPr>
          <w:rFonts w:ascii="Segoe UI" w:hAnsi="Segoe UI" w:cs="Segoe UI"/>
        </w:rPr>
        <w:t>S</w:t>
      </w:r>
      <w:r>
        <w:rPr>
          <w:rFonts w:ascii="Segoe UI" w:hAnsi="Segoe UI" w:cs="Segoe UI"/>
        </w:rPr>
        <w:t>.</w:t>
      </w:r>
      <w:r w:rsidR="00C5172F" w:rsidRPr="00FB3ED7">
        <w:rPr>
          <w:rFonts w:ascii="Segoe UI" w:hAnsi="Segoe UI" w:cs="Segoe UI"/>
        </w:rPr>
        <w:t xml:space="preserve"> Government funds approximately $150</w:t>
      </w:r>
      <w:r w:rsidR="00AF137D">
        <w:rPr>
          <w:rFonts w:ascii="Segoe UI" w:hAnsi="Segoe UI" w:cs="Segoe UI"/>
        </w:rPr>
        <w:t xml:space="preserve"> billion</w:t>
      </w:r>
      <w:r w:rsidR="00C5172F" w:rsidRPr="00FB3ED7">
        <w:rPr>
          <w:rFonts w:ascii="Segoe UI" w:hAnsi="Segoe UI" w:cs="Segoe UI"/>
        </w:rPr>
        <w:t xml:space="preserve"> in R&amp;D each year, </w:t>
      </w:r>
      <w:r>
        <w:rPr>
          <w:rFonts w:ascii="Segoe UI" w:hAnsi="Segoe UI" w:cs="Segoe UI"/>
        </w:rPr>
        <w:t xml:space="preserve">but </w:t>
      </w:r>
      <w:r w:rsidR="00C5172F" w:rsidRPr="00FB3ED7">
        <w:rPr>
          <w:rFonts w:ascii="Segoe UI" w:hAnsi="Segoe UI" w:cs="Segoe UI"/>
        </w:rPr>
        <w:t xml:space="preserve">that figure has fluctuated </w:t>
      </w:r>
      <w:r>
        <w:rPr>
          <w:rFonts w:ascii="Segoe UI" w:hAnsi="Segoe UI" w:cs="Segoe UI"/>
        </w:rPr>
        <w:t>over time.</w:t>
      </w:r>
      <w:r w:rsidR="00C5172F" w:rsidRPr="00FB3ED7">
        <w:rPr>
          <w:rFonts w:ascii="Segoe UI" w:hAnsi="Segoe UI" w:cs="Segoe UI"/>
        </w:rPr>
        <w:t xml:space="preserve"> </w:t>
      </w:r>
      <w:r w:rsidR="00A045D6">
        <w:rPr>
          <w:rFonts w:ascii="Segoe UI" w:hAnsi="Segoe UI" w:cs="Segoe UI"/>
        </w:rPr>
        <w:t>Real f</w:t>
      </w:r>
      <w:r w:rsidR="00C5172F" w:rsidRPr="00FB3ED7">
        <w:rPr>
          <w:rFonts w:ascii="Segoe UI" w:hAnsi="Segoe UI" w:cs="Segoe UI"/>
        </w:rPr>
        <w:t>ederal funding o</w:t>
      </w:r>
      <w:r w:rsidR="00A045D6">
        <w:rPr>
          <w:rFonts w:ascii="Segoe UI" w:hAnsi="Segoe UI" w:cs="Segoe UI"/>
        </w:rPr>
        <w:t>n</w:t>
      </w:r>
      <w:r w:rsidR="00C5172F" w:rsidRPr="00FB3ED7">
        <w:rPr>
          <w:rFonts w:ascii="Segoe UI" w:hAnsi="Segoe UI" w:cs="Segoe UI"/>
        </w:rPr>
        <w:t xml:space="preserve"> R&amp;D </w:t>
      </w:r>
      <w:r w:rsidR="00DD1B45">
        <w:rPr>
          <w:rFonts w:ascii="Segoe UI" w:hAnsi="Segoe UI" w:cs="Segoe UI"/>
        </w:rPr>
        <w:t xml:space="preserve">climbed through the late 2000s, </w:t>
      </w:r>
      <w:r w:rsidR="00A045D6">
        <w:rPr>
          <w:rFonts w:ascii="Segoe UI" w:hAnsi="Segoe UI" w:cs="Segoe UI"/>
        </w:rPr>
        <w:t>peaking in 2010 with the</w:t>
      </w:r>
      <w:r w:rsidR="00DD1B45">
        <w:rPr>
          <w:rFonts w:ascii="Segoe UI" w:hAnsi="Segoe UI" w:cs="Segoe UI"/>
        </w:rPr>
        <w:t xml:space="preserve"> large incremental increase authorized by the American Recovery and Reinvestment Act of 2009 (ARRA). Since 2010, </w:t>
      </w:r>
      <w:r w:rsidR="00A045D6">
        <w:rPr>
          <w:rFonts w:ascii="Segoe UI" w:hAnsi="Segoe UI" w:cs="Segoe UI"/>
        </w:rPr>
        <w:t xml:space="preserve">however, </w:t>
      </w:r>
      <w:r w:rsidR="00DD1B45">
        <w:rPr>
          <w:rFonts w:ascii="Segoe UI" w:hAnsi="Segoe UI" w:cs="Segoe UI"/>
        </w:rPr>
        <w:t xml:space="preserve">total </w:t>
      </w:r>
      <w:r w:rsidR="00296C70">
        <w:rPr>
          <w:rFonts w:ascii="Segoe UI" w:hAnsi="Segoe UI" w:cs="Segoe UI"/>
        </w:rPr>
        <w:t xml:space="preserve">real </w:t>
      </w:r>
      <w:r w:rsidR="005D664C">
        <w:rPr>
          <w:rFonts w:ascii="Segoe UI" w:hAnsi="Segoe UI" w:cs="Segoe UI"/>
        </w:rPr>
        <w:t>federal R&amp;D funding</w:t>
      </w:r>
      <w:r w:rsidR="00DD1B45">
        <w:rPr>
          <w:rFonts w:ascii="Segoe UI" w:hAnsi="Segoe UI" w:cs="Segoe UI"/>
        </w:rPr>
        <w:t xml:space="preserve"> </w:t>
      </w:r>
      <w:r>
        <w:rPr>
          <w:rFonts w:ascii="Segoe UI" w:hAnsi="Segoe UI" w:cs="Segoe UI"/>
        </w:rPr>
        <w:t>has largely decline</w:t>
      </w:r>
      <w:r w:rsidR="00A045D6">
        <w:rPr>
          <w:rFonts w:ascii="Segoe UI" w:hAnsi="Segoe UI" w:cs="Segoe UI"/>
        </w:rPr>
        <w:t xml:space="preserve">d </w:t>
      </w:r>
      <w:r w:rsidR="00C5172F" w:rsidRPr="00FB3ED7">
        <w:rPr>
          <w:rFonts w:ascii="Segoe UI" w:hAnsi="Segoe UI" w:cs="Segoe UI"/>
        </w:rPr>
        <w:t xml:space="preserve">(Figure 1, </w:t>
      </w:r>
      <w:r w:rsidR="00D74389">
        <w:rPr>
          <w:rFonts w:ascii="Segoe UI" w:hAnsi="Segoe UI" w:cs="Segoe UI"/>
        </w:rPr>
        <w:t xml:space="preserve">dashed green </w:t>
      </w:r>
      <w:r w:rsidR="00C5172F" w:rsidRPr="00FB3ED7">
        <w:rPr>
          <w:rFonts w:ascii="Segoe UI" w:hAnsi="Segoe UI" w:cs="Segoe UI"/>
        </w:rPr>
        <w:t>line).</w:t>
      </w:r>
      <w:r w:rsidR="00D74389">
        <w:rPr>
          <w:rStyle w:val="FootnoteReference"/>
          <w:rFonts w:ascii="Segoe UI" w:hAnsi="Segoe UI" w:cs="Segoe UI"/>
        </w:rPr>
        <w:footnoteReference w:id="4"/>
      </w:r>
      <w:r w:rsidR="00C5172F" w:rsidRPr="00FB3ED7">
        <w:rPr>
          <w:rFonts w:ascii="Segoe UI" w:hAnsi="Segoe UI" w:cs="Segoe UI"/>
        </w:rPr>
        <w:t xml:space="preserve">  </w:t>
      </w:r>
    </w:p>
    <w:p w14:paraId="3BBC73F5" w14:textId="77777777" w:rsidR="00C5172F" w:rsidRPr="00FB3ED7" w:rsidRDefault="00C5172F" w:rsidP="00C5172F">
      <w:pPr>
        <w:rPr>
          <w:rFonts w:ascii="Segoe UI" w:hAnsi="Segoe UI" w:cs="Segoe UI"/>
        </w:rPr>
      </w:pPr>
      <w:r w:rsidRPr="00FB3ED7">
        <w:rPr>
          <w:rFonts w:ascii="Segoe UI" w:hAnsi="Segoe UI" w:cs="Segoe UI"/>
        </w:rPr>
        <w:t xml:space="preserve">In contrast, </w:t>
      </w:r>
      <w:r w:rsidR="00152F73">
        <w:rPr>
          <w:rFonts w:ascii="Segoe UI" w:hAnsi="Segoe UI" w:cs="Segoe UI"/>
        </w:rPr>
        <w:t xml:space="preserve">the number of </w:t>
      </w:r>
      <w:r w:rsidRPr="00FB3ED7">
        <w:rPr>
          <w:rFonts w:ascii="Segoe UI" w:hAnsi="Segoe UI" w:cs="Segoe UI"/>
        </w:rPr>
        <w:t>government interest patents (</w:t>
      </w:r>
      <w:r w:rsidR="00D74389">
        <w:rPr>
          <w:rFonts w:ascii="Segoe UI" w:hAnsi="Segoe UI" w:cs="Segoe UI"/>
        </w:rPr>
        <w:t xml:space="preserve">solid </w:t>
      </w:r>
      <w:r>
        <w:rPr>
          <w:rFonts w:ascii="Segoe UI" w:hAnsi="Segoe UI" w:cs="Segoe UI"/>
        </w:rPr>
        <w:t>cyan</w:t>
      </w:r>
      <w:r w:rsidR="00AF137D">
        <w:rPr>
          <w:rFonts w:ascii="Segoe UI" w:hAnsi="Segoe UI" w:cs="Segoe UI"/>
        </w:rPr>
        <w:t xml:space="preserve"> line</w:t>
      </w:r>
      <w:r w:rsidRPr="00FB3ED7">
        <w:rPr>
          <w:rFonts w:ascii="Segoe UI" w:hAnsi="Segoe UI" w:cs="Segoe UI"/>
        </w:rPr>
        <w:t>)</w:t>
      </w:r>
      <w:r w:rsidR="00152F73">
        <w:rPr>
          <w:rFonts w:ascii="Segoe UI" w:hAnsi="Segoe UI" w:cs="Segoe UI"/>
        </w:rPr>
        <w:t xml:space="preserve"> ha</w:t>
      </w:r>
      <w:r w:rsidR="00F13918">
        <w:rPr>
          <w:rFonts w:ascii="Segoe UI" w:hAnsi="Segoe UI" w:cs="Segoe UI"/>
        </w:rPr>
        <w:t>s</w:t>
      </w:r>
      <w:r w:rsidR="00152F73">
        <w:rPr>
          <w:rFonts w:ascii="Segoe UI" w:hAnsi="Segoe UI" w:cs="Segoe UI"/>
        </w:rPr>
        <w:t xml:space="preserve"> surged</w:t>
      </w:r>
      <w:r w:rsidR="00F13918">
        <w:rPr>
          <w:rFonts w:ascii="Segoe UI" w:hAnsi="Segoe UI" w:cs="Segoe UI"/>
        </w:rPr>
        <w:t xml:space="preserve">, </w:t>
      </w:r>
      <w:r w:rsidR="00706916">
        <w:rPr>
          <w:rFonts w:ascii="Segoe UI" w:hAnsi="Segoe UI" w:cs="Segoe UI"/>
        </w:rPr>
        <w:t xml:space="preserve">outpacing growth in </w:t>
      </w:r>
      <w:r w:rsidR="005D664C">
        <w:rPr>
          <w:rFonts w:ascii="Segoe UI" w:hAnsi="Segoe UI" w:cs="Segoe UI"/>
        </w:rPr>
        <w:t>total patent</w:t>
      </w:r>
      <w:r w:rsidR="00AF137D">
        <w:rPr>
          <w:rFonts w:ascii="Segoe UI" w:hAnsi="Segoe UI" w:cs="Segoe UI"/>
        </w:rPr>
        <w:t>ing</w:t>
      </w:r>
      <w:r w:rsidRPr="00FB3ED7">
        <w:rPr>
          <w:rFonts w:ascii="Segoe UI" w:hAnsi="Segoe UI" w:cs="Segoe UI"/>
        </w:rPr>
        <w:t xml:space="preserve">. </w:t>
      </w:r>
      <w:r w:rsidR="005678E3">
        <w:rPr>
          <w:rFonts w:ascii="Segoe UI" w:hAnsi="Segoe UI" w:cs="Segoe UI"/>
        </w:rPr>
        <w:t>Over the past decade, the number of government interest patents granted has doubled, climbing from around 3,600 in the late 2000s to more than 7,200 in 2017</w:t>
      </w:r>
      <w:r w:rsidR="00706916">
        <w:rPr>
          <w:rFonts w:ascii="Segoe UI" w:hAnsi="Segoe UI" w:cs="Segoe UI"/>
        </w:rPr>
        <w:t xml:space="preserve"> (roughly </w:t>
      </w:r>
      <w:r w:rsidR="00011D19">
        <w:rPr>
          <w:rFonts w:ascii="Segoe UI" w:hAnsi="Segoe UI" w:cs="Segoe UI"/>
        </w:rPr>
        <w:t>7.1</w:t>
      </w:r>
      <w:r w:rsidR="00706916">
        <w:rPr>
          <w:rFonts w:ascii="Segoe UI" w:hAnsi="Segoe UI" w:cs="Segoe UI"/>
        </w:rPr>
        <w:t>% per year 2008-2017)</w:t>
      </w:r>
      <w:r w:rsidR="005678E3">
        <w:rPr>
          <w:rFonts w:ascii="Segoe UI" w:hAnsi="Segoe UI" w:cs="Segoe UI"/>
        </w:rPr>
        <w:t xml:space="preserve">. </w:t>
      </w:r>
      <w:r w:rsidR="00706916">
        <w:rPr>
          <w:rFonts w:ascii="Segoe UI" w:hAnsi="Segoe UI" w:cs="Segoe UI"/>
        </w:rPr>
        <w:t xml:space="preserve">As Figure 1 shows, the total number of patent grants has also grown over this period but at a slightly slower pace (about </w:t>
      </w:r>
      <w:r w:rsidR="00011D19">
        <w:rPr>
          <w:rFonts w:ascii="Segoe UI" w:hAnsi="Segoe UI" w:cs="Segoe UI"/>
        </w:rPr>
        <w:t>6.6</w:t>
      </w:r>
      <w:r w:rsidR="00706916">
        <w:rPr>
          <w:rFonts w:ascii="Segoe UI" w:hAnsi="Segoe UI" w:cs="Segoe UI"/>
        </w:rPr>
        <w:t xml:space="preserve">% per year 2008-2017). </w:t>
      </w:r>
      <w:r w:rsidR="009B501A">
        <w:rPr>
          <w:rFonts w:ascii="Segoe UI" w:hAnsi="Segoe UI" w:cs="Segoe UI"/>
        </w:rPr>
        <w:t xml:space="preserve">Accordingly, the share of total patents with a government interest climbed </w:t>
      </w:r>
      <w:r w:rsidR="00011D19">
        <w:rPr>
          <w:rFonts w:ascii="Segoe UI" w:hAnsi="Segoe UI" w:cs="Segoe UI"/>
        </w:rPr>
        <w:t>from 1.9% in 2008 to 2.2% in 2013 but fell back down to 2.1% in 2017.</w:t>
      </w:r>
    </w:p>
    <w:p w14:paraId="47B93FB7" w14:textId="77777777" w:rsidR="00C5172F" w:rsidRPr="00EC3F9E" w:rsidRDefault="00E4779A" w:rsidP="00C5172F">
      <w:pPr>
        <w:rPr>
          <w:rFonts w:ascii="Segoe UI" w:hAnsi="Segoe UI" w:cs="Segoe UI"/>
        </w:rPr>
      </w:pPr>
      <w:r>
        <w:rPr>
          <w:rFonts w:ascii="Segoe UI" w:hAnsi="Segoe UI" w:cs="Segoe UI"/>
          <w:noProof/>
        </w:rPr>
        <w:drawing>
          <wp:inline distT="0" distB="0" distL="0" distR="0" wp14:anchorId="27002CFC" wp14:editId="4CCA8022">
            <wp:extent cx="5943600" cy="51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28CE34C9" w14:textId="77777777" w:rsidR="00C5172F" w:rsidRDefault="00C5172F" w:rsidP="00C5172F">
      <w:pPr>
        <w:rPr>
          <w:rFonts w:ascii="Segoe UI" w:hAnsi="Segoe UI" w:cs="Segoe UI"/>
        </w:rPr>
      </w:pPr>
      <w:r w:rsidRPr="00484F2C">
        <w:rPr>
          <w:rFonts w:ascii="Segoe UI" w:hAnsi="Segoe UI" w:cs="Segoe UI"/>
          <w:b/>
        </w:rPr>
        <w:t>Figure 1</w:t>
      </w:r>
      <w:r>
        <w:rPr>
          <w:rFonts w:ascii="Segoe UI" w:hAnsi="Segoe UI" w:cs="Segoe UI"/>
        </w:rPr>
        <w:t xml:space="preserve">: Growth </w:t>
      </w:r>
      <w:r w:rsidR="00FE5D1A">
        <w:rPr>
          <w:rFonts w:ascii="Segoe UI" w:hAnsi="Segoe UI" w:cs="Segoe UI"/>
        </w:rPr>
        <w:t>in government interest</w:t>
      </w:r>
      <w:r w:rsidR="00A045D6">
        <w:rPr>
          <w:rFonts w:ascii="Segoe UI" w:hAnsi="Segoe UI" w:cs="Segoe UI"/>
        </w:rPr>
        <w:t>,</w:t>
      </w:r>
      <w:r w:rsidR="00FE5D1A">
        <w:rPr>
          <w:rFonts w:ascii="Segoe UI" w:hAnsi="Segoe UI" w:cs="Segoe UI"/>
        </w:rPr>
        <w:t xml:space="preserve"> </w:t>
      </w:r>
      <w:r>
        <w:rPr>
          <w:rFonts w:ascii="Segoe UI" w:hAnsi="Segoe UI" w:cs="Segoe UI"/>
        </w:rPr>
        <w:t>all patents</w:t>
      </w:r>
      <w:r w:rsidR="00A045D6">
        <w:rPr>
          <w:rFonts w:ascii="Segoe UI" w:hAnsi="Segoe UI" w:cs="Segoe UI"/>
        </w:rPr>
        <w:t xml:space="preserve">, and real Federal R&amp;D funding, </w:t>
      </w:r>
      <w:r>
        <w:rPr>
          <w:rFonts w:ascii="Segoe UI" w:hAnsi="Segoe UI" w:cs="Segoe UI"/>
        </w:rPr>
        <w:t>indexed at 1980 levels</w:t>
      </w:r>
      <w:r w:rsidR="00A045D6">
        <w:rPr>
          <w:rFonts w:ascii="Segoe UI" w:hAnsi="Segoe UI" w:cs="Segoe UI"/>
        </w:rPr>
        <w:t xml:space="preserve"> (</w:t>
      </w:r>
      <w:r w:rsidR="00AF137D">
        <w:rPr>
          <w:rFonts w:ascii="Segoe UI" w:hAnsi="Segoe UI" w:cs="Segoe UI"/>
        </w:rPr>
        <w:t>federal R&amp;D funding estimated for 2016 and 2017 based on President’s request)</w:t>
      </w:r>
      <w:r w:rsidR="000D24E3">
        <w:rPr>
          <w:rStyle w:val="FootnoteReference"/>
          <w:rFonts w:ascii="Segoe UI" w:hAnsi="Segoe UI" w:cs="Segoe UI"/>
        </w:rPr>
        <w:footnoteReference w:id="5"/>
      </w:r>
      <w:r w:rsidR="00D74389">
        <w:rPr>
          <w:rFonts w:ascii="Segoe UI" w:hAnsi="Segoe UI" w:cs="Segoe UI"/>
        </w:rPr>
        <w:t xml:space="preserve"> </w:t>
      </w:r>
    </w:p>
    <w:p w14:paraId="09CBCCAD" w14:textId="77777777" w:rsidR="00723442" w:rsidRDefault="00723442" w:rsidP="00723442">
      <w:pPr>
        <w:rPr>
          <w:rFonts w:ascii="Segoe UI" w:hAnsi="Segoe UI" w:cs="Segoe UI"/>
        </w:rPr>
      </w:pPr>
      <w:r>
        <w:rPr>
          <w:rFonts w:ascii="Segoe UI" w:hAnsi="Segoe UI" w:cs="Segoe UI"/>
        </w:rPr>
        <w:t>Generally, R&amp;D dollars are invested well before an innovation emerges and several years before that invention is patented. Thus, patent grants would tend to lag R&amp;D expenditure. Accordingly, Figure 1 shows the strongest growth in government interest patents occurring in the five years following ARRA. This does not necessarily mean that ARRA</w:t>
      </w:r>
      <w:r w:rsidR="00706916">
        <w:rPr>
          <w:rFonts w:ascii="Segoe UI" w:hAnsi="Segoe UI" w:cs="Segoe UI"/>
        </w:rPr>
        <w:t>, or the prior years of relatively high funding,</w:t>
      </w:r>
      <w:r>
        <w:rPr>
          <w:rFonts w:ascii="Segoe UI" w:hAnsi="Segoe UI" w:cs="Segoe UI"/>
        </w:rPr>
        <w:t xml:space="preserve"> drove this growth in government interest patents, especially given the fact that total patenting also grew at a rapid pace during this time. However, the relationship between ARRA stimulus and the subsequent surge in government interest patents warrants further investigation.</w:t>
      </w:r>
    </w:p>
    <w:p w14:paraId="6A77D187" w14:textId="77777777" w:rsidR="008C0060" w:rsidRDefault="00E4779A" w:rsidP="00C5172F">
      <w:pPr>
        <w:rPr>
          <w:rFonts w:ascii="Segoe UI" w:hAnsi="Segoe UI" w:cs="Segoe UI"/>
        </w:rPr>
      </w:pPr>
      <w:r>
        <w:rPr>
          <w:rFonts w:ascii="Segoe UI" w:hAnsi="Segoe UI" w:cs="Segoe UI"/>
          <w:noProof/>
        </w:rPr>
        <w:drawing>
          <wp:inline distT="0" distB="0" distL="0" distR="0" wp14:anchorId="0FA28839" wp14:editId="6950AD73">
            <wp:extent cx="5943600" cy="5171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11AE093A" w14:textId="77777777" w:rsidR="00723442" w:rsidRDefault="00723442" w:rsidP="00723442">
      <w:pPr>
        <w:rPr>
          <w:rFonts w:ascii="Segoe UI" w:hAnsi="Segoe UI" w:cs="Segoe UI"/>
        </w:rPr>
      </w:pPr>
      <w:r>
        <w:rPr>
          <w:rFonts w:ascii="Segoe UI" w:hAnsi="Segoe UI" w:cs="Segoe UI"/>
          <w:b/>
        </w:rPr>
        <w:t>Figure 2</w:t>
      </w:r>
      <w:r>
        <w:rPr>
          <w:rFonts w:ascii="Segoe UI" w:hAnsi="Segoe UI" w:cs="Segoe UI"/>
        </w:rPr>
        <w:t xml:space="preserve">: Government interest patents granted </w:t>
      </w:r>
      <w:r w:rsidRPr="00776A41">
        <w:rPr>
          <w:rFonts w:ascii="Segoe UI" w:hAnsi="Segoe UI" w:cs="Segoe UI"/>
        </w:rPr>
        <w:t>1980-2017</w:t>
      </w:r>
      <w:r w:rsidRPr="00A045D6">
        <w:rPr>
          <w:rFonts w:ascii="Segoe UI" w:hAnsi="Segoe UI" w:cs="Segoe UI"/>
        </w:rPr>
        <w:t>,</w:t>
      </w:r>
      <w:r>
        <w:rPr>
          <w:rFonts w:ascii="Segoe UI" w:hAnsi="Segoe UI" w:cs="Segoe UI"/>
        </w:rPr>
        <w:t xml:space="preserve"> top </w:t>
      </w:r>
      <w:r w:rsidR="00E4779A">
        <w:rPr>
          <w:rFonts w:ascii="Segoe UI" w:hAnsi="Segoe UI" w:cs="Segoe UI"/>
        </w:rPr>
        <w:t>six</w:t>
      </w:r>
      <w:r w:rsidR="00514736">
        <w:rPr>
          <w:rFonts w:ascii="Segoe UI" w:hAnsi="Segoe UI" w:cs="Segoe UI"/>
        </w:rPr>
        <w:t xml:space="preserve"> </w:t>
      </w:r>
      <w:r>
        <w:rPr>
          <w:rFonts w:ascii="Segoe UI" w:hAnsi="Segoe UI" w:cs="Segoe UI"/>
        </w:rPr>
        <w:t>technology fields</w:t>
      </w:r>
    </w:p>
    <w:p w14:paraId="5CA4C019" w14:textId="77777777" w:rsidR="00681394" w:rsidRDefault="00681394">
      <w:pPr>
        <w:pStyle w:val="CommentText"/>
        <w:rPr>
          <w:rFonts w:ascii="Segoe UI" w:hAnsi="Segoe UI" w:cs="Segoe UI"/>
          <w:sz w:val="22"/>
          <w:szCs w:val="22"/>
        </w:rPr>
      </w:pPr>
      <w:r>
        <w:rPr>
          <w:rFonts w:ascii="Segoe UI" w:hAnsi="Segoe UI" w:cs="Segoe UI"/>
          <w:sz w:val="22"/>
          <w:szCs w:val="22"/>
        </w:rPr>
        <w:t>G</w:t>
      </w:r>
      <w:r w:rsidR="008C0060" w:rsidRPr="008C0060">
        <w:rPr>
          <w:rFonts w:ascii="Segoe UI" w:hAnsi="Segoe UI" w:cs="Segoe UI"/>
          <w:sz w:val="22"/>
          <w:szCs w:val="22"/>
        </w:rPr>
        <w:t xml:space="preserve">overnment interest patenting </w:t>
      </w:r>
      <w:r w:rsidR="00723442">
        <w:rPr>
          <w:rFonts w:ascii="Segoe UI" w:hAnsi="Segoe UI" w:cs="Segoe UI"/>
          <w:sz w:val="22"/>
          <w:szCs w:val="22"/>
        </w:rPr>
        <w:t xml:space="preserve">is </w:t>
      </w:r>
      <w:r w:rsidR="001A010C">
        <w:rPr>
          <w:rFonts w:ascii="Segoe UI" w:hAnsi="Segoe UI" w:cs="Segoe UI"/>
          <w:sz w:val="22"/>
          <w:szCs w:val="22"/>
        </w:rPr>
        <w:t>dispersed across a wide variety of</w:t>
      </w:r>
      <w:r w:rsidR="00514736">
        <w:rPr>
          <w:rFonts w:ascii="Segoe UI" w:hAnsi="Segoe UI" w:cs="Segoe UI"/>
          <w:sz w:val="22"/>
          <w:szCs w:val="22"/>
        </w:rPr>
        <w:t xml:space="preserve"> </w:t>
      </w:r>
      <w:r w:rsidR="008C0060" w:rsidRPr="008C0060">
        <w:rPr>
          <w:rFonts w:ascii="Segoe UI" w:hAnsi="Segoe UI" w:cs="Segoe UI"/>
          <w:sz w:val="22"/>
          <w:szCs w:val="22"/>
        </w:rPr>
        <w:t xml:space="preserve">technology </w:t>
      </w:r>
      <w:r>
        <w:rPr>
          <w:rFonts w:ascii="Segoe UI" w:hAnsi="Segoe UI" w:cs="Segoe UI"/>
          <w:sz w:val="22"/>
          <w:szCs w:val="22"/>
        </w:rPr>
        <w:t>areas</w:t>
      </w:r>
      <w:r w:rsidR="00514736">
        <w:rPr>
          <w:rFonts w:ascii="Segoe UI" w:hAnsi="Segoe UI" w:cs="Segoe UI"/>
          <w:sz w:val="22"/>
          <w:szCs w:val="22"/>
        </w:rPr>
        <w:t xml:space="preserve">. Figure 2 shows trends in the number of government interest patents for the top </w:t>
      </w:r>
      <w:r w:rsidR="001A010C">
        <w:rPr>
          <w:rFonts w:ascii="Segoe UI" w:hAnsi="Segoe UI" w:cs="Segoe UI"/>
          <w:sz w:val="22"/>
          <w:szCs w:val="22"/>
        </w:rPr>
        <w:t>six</w:t>
      </w:r>
      <w:r w:rsidR="00514736">
        <w:rPr>
          <w:rFonts w:ascii="Segoe UI" w:hAnsi="Segoe UI" w:cs="Segoe UI"/>
          <w:sz w:val="22"/>
          <w:szCs w:val="22"/>
        </w:rPr>
        <w:t xml:space="preserve"> technology </w:t>
      </w:r>
      <w:r>
        <w:rPr>
          <w:rFonts w:ascii="Segoe UI" w:hAnsi="Segoe UI" w:cs="Segoe UI"/>
          <w:sz w:val="22"/>
          <w:szCs w:val="22"/>
        </w:rPr>
        <w:t>fields</w:t>
      </w:r>
      <w:r w:rsidR="00514736">
        <w:rPr>
          <w:rFonts w:ascii="Segoe UI" w:hAnsi="Segoe UI" w:cs="Segoe UI"/>
          <w:sz w:val="22"/>
          <w:szCs w:val="22"/>
        </w:rPr>
        <w:t xml:space="preserve">. </w:t>
      </w:r>
      <w:r w:rsidR="001A010C">
        <w:rPr>
          <w:rFonts w:ascii="Segoe UI" w:hAnsi="Segoe UI" w:cs="Segoe UI"/>
          <w:sz w:val="22"/>
          <w:szCs w:val="22"/>
        </w:rPr>
        <w:t xml:space="preserve">These </w:t>
      </w:r>
      <w:r w:rsidR="006B56F4">
        <w:rPr>
          <w:rFonts w:ascii="Segoe UI" w:hAnsi="Segoe UI" w:cs="Segoe UI"/>
          <w:sz w:val="22"/>
          <w:szCs w:val="22"/>
        </w:rPr>
        <w:t xml:space="preserve">six fields </w:t>
      </w:r>
      <w:r w:rsidR="001A010C">
        <w:rPr>
          <w:rFonts w:ascii="Segoe UI" w:hAnsi="Segoe UI" w:cs="Segoe UI"/>
          <w:sz w:val="22"/>
          <w:szCs w:val="22"/>
        </w:rPr>
        <w:t>account for less than half (47%) of all government interest patents issued 1980-2017.</w:t>
      </w:r>
      <w:r w:rsidR="00843924">
        <w:rPr>
          <w:rStyle w:val="FootnoteReference"/>
          <w:rFonts w:ascii="Segoe UI" w:hAnsi="Segoe UI" w:cs="Segoe UI"/>
          <w:sz w:val="22"/>
          <w:szCs w:val="22"/>
        </w:rPr>
        <w:footnoteReference w:id="6"/>
      </w:r>
      <w:r w:rsidR="001A010C">
        <w:rPr>
          <w:rFonts w:ascii="Segoe UI" w:hAnsi="Segoe UI" w:cs="Segoe UI"/>
          <w:sz w:val="22"/>
          <w:szCs w:val="22"/>
        </w:rPr>
        <w:t xml:space="preserve"> </w:t>
      </w:r>
      <w:r w:rsidR="00514736">
        <w:rPr>
          <w:rFonts w:ascii="Segoe UI" w:hAnsi="Segoe UI" w:cs="Segoe UI"/>
          <w:sz w:val="22"/>
          <w:szCs w:val="22"/>
        </w:rPr>
        <w:t>Historically</w:t>
      </w:r>
      <w:r w:rsidR="009063F7">
        <w:rPr>
          <w:rFonts w:ascii="Segoe UI" w:hAnsi="Segoe UI" w:cs="Segoe UI"/>
          <w:sz w:val="22"/>
          <w:szCs w:val="22"/>
        </w:rPr>
        <w:t>, the</w:t>
      </w:r>
      <w:r w:rsidR="00514736">
        <w:rPr>
          <w:rFonts w:ascii="Segoe UI" w:hAnsi="Segoe UI" w:cs="Segoe UI"/>
          <w:sz w:val="22"/>
          <w:szCs w:val="22"/>
        </w:rPr>
        <w:t xml:space="preserve"> large</w:t>
      </w:r>
      <w:r w:rsidR="009063F7">
        <w:rPr>
          <w:rFonts w:ascii="Segoe UI" w:hAnsi="Segoe UI" w:cs="Segoe UI"/>
          <w:sz w:val="22"/>
          <w:szCs w:val="22"/>
        </w:rPr>
        <w:t>st</w:t>
      </w:r>
      <w:r w:rsidR="00514736">
        <w:rPr>
          <w:rFonts w:ascii="Segoe UI" w:hAnsi="Segoe UI" w:cs="Segoe UI"/>
          <w:sz w:val="22"/>
          <w:szCs w:val="22"/>
        </w:rPr>
        <w:t xml:space="preserve"> share of government interest patents </w:t>
      </w:r>
      <w:r>
        <w:rPr>
          <w:rFonts w:ascii="Segoe UI" w:hAnsi="Segoe UI" w:cs="Segoe UI"/>
          <w:sz w:val="22"/>
          <w:szCs w:val="22"/>
        </w:rPr>
        <w:t>involve</w:t>
      </w:r>
      <w:r w:rsidR="00514736">
        <w:rPr>
          <w:rFonts w:ascii="Segoe UI" w:hAnsi="Segoe UI" w:cs="Segoe UI"/>
          <w:sz w:val="22"/>
          <w:szCs w:val="22"/>
        </w:rPr>
        <w:t xml:space="preserve"> biotechnology</w:t>
      </w:r>
      <w:r>
        <w:rPr>
          <w:rFonts w:ascii="Segoe UI" w:hAnsi="Segoe UI" w:cs="Segoe UI"/>
          <w:sz w:val="22"/>
          <w:szCs w:val="22"/>
        </w:rPr>
        <w:t xml:space="preserve"> </w:t>
      </w:r>
      <w:r w:rsidRPr="009B501A">
        <w:rPr>
          <w:rFonts w:ascii="Segoe UI" w:hAnsi="Segoe UI" w:cs="Segoe UI"/>
          <w:sz w:val="22"/>
          <w:szCs w:val="22"/>
        </w:rPr>
        <w:t>(</w:t>
      </w:r>
      <w:r w:rsidR="005745FA">
        <w:rPr>
          <w:rFonts w:ascii="Segoe UI" w:hAnsi="Segoe UI" w:cs="Segoe UI"/>
          <w:sz w:val="22"/>
          <w:szCs w:val="22"/>
        </w:rPr>
        <w:t>14.0</w:t>
      </w:r>
      <w:r w:rsidRPr="009B501A">
        <w:rPr>
          <w:rFonts w:ascii="Segoe UI" w:hAnsi="Segoe UI" w:cs="Segoe UI"/>
          <w:sz w:val="22"/>
          <w:szCs w:val="22"/>
        </w:rPr>
        <w:t xml:space="preserve">% </w:t>
      </w:r>
      <w:r w:rsidR="009063F7">
        <w:rPr>
          <w:rFonts w:ascii="Segoe UI" w:hAnsi="Segoe UI" w:cs="Segoe UI"/>
          <w:sz w:val="22"/>
          <w:szCs w:val="22"/>
        </w:rPr>
        <w:t>of</w:t>
      </w:r>
      <w:r w:rsidRPr="009B501A">
        <w:rPr>
          <w:rFonts w:ascii="Segoe UI" w:hAnsi="Segoe UI" w:cs="Segoe UI"/>
          <w:sz w:val="22"/>
          <w:szCs w:val="22"/>
        </w:rPr>
        <w:t xml:space="preserve"> </w:t>
      </w:r>
      <w:r w:rsidR="00691D8A">
        <w:rPr>
          <w:rFonts w:ascii="Segoe UI" w:hAnsi="Segoe UI" w:cs="Segoe UI"/>
          <w:sz w:val="22"/>
          <w:szCs w:val="22"/>
        </w:rPr>
        <w:t>government interest patent granted</w:t>
      </w:r>
      <w:r w:rsidR="00691D8A" w:rsidRPr="009B501A">
        <w:rPr>
          <w:rFonts w:ascii="Segoe UI" w:hAnsi="Segoe UI" w:cs="Segoe UI"/>
          <w:sz w:val="22"/>
          <w:szCs w:val="22"/>
        </w:rPr>
        <w:t xml:space="preserve"> </w:t>
      </w:r>
      <w:r w:rsidRPr="009B501A">
        <w:rPr>
          <w:rFonts w:ascii="Segoe UI" w:hAnsi="Segoe UI" w:cs="Segoe UI"/>
          <w:sz w:val="22"/>
          <w:szCs w:val="22"/>
        </w:rPr>
        <w:t>2008-2017).</w:t>
      </w:r>
      <w:r>
        <w:rPr>
          <w:rFonts w:ascii="Segoe UI" w:hAnsi="Segoe UI" w:cs="Segoe UI"/>
          <w:sz w:val="22"/>
          <w:szCs w:val="22"/>
        </w:rPr>
        <w:t xml:space="preserve">  However</w:t>
      </w:r>
      <w:r w:rsidR="00514736">
        <w:rPr>
          <w:rFonts w:ascii="Segoe UI" w:hAnsi="Segoe UI" w:cs="Segoe UI"/>
          <w:sz w:val="22"/>
          <w:szCs w:val="22"/>
        </w:rPr>
        <w:t xml:space="preserve">, in </w:t>
      </w:r>
      <w:r>
        <w:rPr>
          <w:rFonts w:ascii="Segoe UI" w:hAnsi="Segoe UI" w:cs="Segoe UI"/>
          <w:sz w:val="22"/>
          <w:szCs w:val="22"/>
        </w:rPr>
        <w:t>the last decade</w:t>
      </w:r>
      <w:r w:rsidR="00514736">
        <w:rPr>
          <w:rFonts w:ascii="Segoe UI" w:hAnsi="Segoe UI" w:cs="Segoe UI"/>
          <w:sz w:val="22"/>
          <w:szCs w:val="22"/>
        </w:rPr>
        <w:t xml:space="preserve">, </w:t>
      </w:r>
      <w:r>
        <w:rPr>
          <w:rFonts w:ascii="Segoe UI" w:hAnsi="Segoe UI" w:cs="Segoe UI"/>
          <w:sz w:val="22"/>
          <w:szCs w:val="22"/>
        </w:rPr>
        <w:t>government funding ha</w:t>
      </w:r>
      <w:r w:rsidR="00514736">
        <w:rPr>
          <w:rFonts w:ascii="Segoe UI" w:hAnsi="Segoe UI" w:cs="Segoe UI"/>
          <w:sz w:val="22"/>
          <w:szCs w:val="22"/>
        </w:rPr>
        <w:t>s support more patenting in pharmaceutical</w:t>
      </w:r>
      <w:r w:rsidR="00514736" w:rsidRPr="005745FA">
        <w:rPr>
          <w:rFonts w:ascii="Segoe UI" w:hAnsi="Segoe UI" w:cs="Segoe UI"/>
          <w:sz w:val="22"/>
          <w:szCs w:val="22"/>
        </w:rPr>
        <w:t>s</w:t>
      </w:r>
      <w:r w:rsidRPr="005745FA">
        <w:rPr>
          <w:rFonts w:ascii="Segoe UI" w:hAnsi="Segoe UI" w:cs="Segoe UI"/>
          <w:sz w:val="22"/>
          <w:szCs w:val="22"/>
        </w:rPr>
        <w:t xml:space="preserve"> (</w:t>
      </w:r>
      <w:r w:rsidR="005745FA">
        <w:rPr>
          <w:rFonts w:ascii="Segoe UI" w:hAnsi="Segoe UI" w:cs="Segoe UI"/>
          <w:sz w:val="22"/>
          <w:szCs w:val="22"/>
        </w:rPr>
        <w:t>8.9</w:t>
      </w:r>
      <w:r w:rsidRPr="005745FA">
        <w:rPr>
          <w:rFonts w:ascii="Segoe UI" w:hAnsi="Segoe UI" w:cs="Segoe UI"/>
          <w:sz w:val="22"/>
          <w:szCs w:val="22"/>
        </w:rPr>
        <w:t xml:space="preserve">% </w:t>
      </w:r>
      <w:r w:rsidR="009063F7" w:rsidRPr="00EA6DFE">
        <w:rPr>
          <w:rFonts w:ascii="Segoe UI" w:hAnsi="Segoe UI" w:cs="Segoe UI"/>
          <w:sz w:val="22"/>
          <w:szCs w:val="22"/>
        </w:rPr>
        <w:t>of</w:t>
      </w:r>
      <w:r w:rsidRPr="00EA6DFE">
        <w:rPr>
          <w:rFonts w:ascii="Segoe UI" w:hAnsi="Segoe UI" w:cs="Segoe UI"/>
          <w:sz w:val="22"/>
          <w:szCs w:val="22"/>
        </w:rPr>
        <w:t xml:space="preserve"> </w:t>
      </w:r>
      <w:r w:rsidR="00691D8A">
        <w:rPr>
          <w:rFonts w:ascii="Segoe UI" w:hAnsi="Segoe UI" w:cs="Segoe UI"/>
          <w:sz w:val="22"/>
          <w:szCs w:val="22"/>
        </w:rPr>
        <w:t>government interest patent granted</w:t>
      </w:r>
      <w:r w:rsidR="00691D8A" w:rsidRPr="009B501A">
        <w:rPr>
          <w:rFonts w:ascii="Segoe UI" w:hAnsi="Segoe UI" w:cs="Segoe UI"/>
          <w:sz w:val="22"/>
          <w:szCs w:val="22"/>
        </w:rPr>
        <w:t xml:space="preserve"> </w:t>
      </w:r>
      <w:r w:rsidRPr="00EA6DFE">
        <w:rPr>
          <w:rFonts w:ascii="Segoe UI" w:hAnsi="Segoe UI" w:cs="Segoe UI"/>
          <w:sz w:val="22"/>
          <w:szCs w:val="22"/>
        </w:rPr>
        <w:t>2008-2017</w:t>
      </w:r>
      <w:r w:rsidRPr="005745FA">
        <w:rPr>
          <w:rFonts w:ascii="Segoe UI" w:hAnsi="Segoe UI" w:cs="Segoe UI"/>
          <w:sz w:val="22"/>
          <w:szCs w:val="22"/>
        </w:rPr>
        <w:t>)</w:t>
      </w:r>
      <w:r w:rsidR="00514736" w:rsidRPr="005745FA">
        <w:rPr>
          <w:rFonts w:ascii="Segoe UI" w:hAnsi="Segoe UI" w:cs="Segoe UI"/>
          <w:sz w:val="22"/>
          <w:szCs w:val="22"/>
        </w:rPr>
        <w:t xml:space="preserve">, </w:t>
      </w:r>
      <w:r w:rsidR="009063F7" w:rsidRPr="005745FA">
        <w:rPr>
          <w:rFonts w:ascii="Segoe UI" w:hAnsi="Segoe UI" w:cs="Segoe UI"/>
          <w:sz w:val="22"/>
          <w:szCs w:val="22"/>
        </w:rPr>
        <w:t>measurements</w:t>
      </w:r>
      <w:r w:rsidR="009063F7" w:rsidRPr="007F3F0F">
        <w:rPr>
          <w:rFonts w:ascii="Segoe UI" w:hAnsi="Segoe UI" w:cs="Segoe UI"/>
          <w:sz w:val="22"/>
          <w:szCs w:val="22"/>
        </w:rPr>
        <w:t xml:space="preserve"> (</w:t>
      </w:r>
      <w:r w:rsidR="005745FA" w:rsidRPr="007F3F0F">
        <w:rPr>
          <w:rFonts w:ascii="Segoe UI" w:hAnsi="Segoe UI" w:cs="Segoe UI"/>
          <w:sz w:val="22"/>
          <w:szCs w:val="22"/>
        </w:rPr>
        <w:t>8.7</w:t>
      </w:r>
      <w:r w:rsidR="009063F7" w:rsidRPr="00EA6DFE">
        <w:rPr>
          <w:rFonts w:ascii="Segoe UI" w:hAnsi="Segoe UI" w:cs="Segoe UI"/>
          <w:sz w:val="22"/>
          <w:szCs w:val="22"/>
        </w:rPr>
        <w:t>%</w:t>
      </w:r>
      <w:r w:rsidR="009063F7" w:rsidRPr="005745FA">
        <w:rPr>
          <w:rFonts w:ascii="Segoe UI" w:hAnsi="Segoe UI" w:cs="Segoe UI"/>
          <w:sz w:val="22"/>
          <w:szCs w:val="22"/>
        </w:rPr>
        <w:t xml:space="preserve">), and </w:t>
      </w:r>
      <w:r w:rsidR="00514736" w:rsidRPr="005745FA">
        <w:rPr>
          <w:rFonts w:ascii="Segoe UI" w:hAnsi="Segoe UI" w:cs="Segoe UI"/>
          <w:sz w:val="22"/>
          <w:szCs w:val="22"/>
        </w:rPr>
        <w:t>computer</w:t>
      </w:r>
      <w:r w:rsidR="00514736" w:rsidRPr="007F3F0F">
        <w:rPr>
          <w:rFonts w:ascii="Segoe UI" w:hAnsi="Segoe UI" w:cs="Segoe UI"/>
          <w:sz w:val="22"/>
          <w:szCs w:val="22"/>
        </w:rPr>
        <w:t xml:space="preserve"> technology</w:t>
      </w:r>
      <w:r w:rsidRPr="007F3F0F">
        <w:rPr>
          <w:rFonts w:ascii="Segoe UI" w:hAnsi="Segoe UI" w:cs="Segoe UI"/>
          <w:sz w:val="22"/>
          <w:szCs w:val="22"/>
        </w:rPr>
        <w:t xml:space="preserve"> (</w:t>
      </w:r>
      <w:r w:rsidR="009063F7" w:rsidRPr="00EA6DFE">
        <w:rPr>
          <w:rFonts w:ascii="Segoe UI" w:hAnsi="Segoe UI" w:cs="Segoe UI"/>
          <w:sz w:val="22"/>
          <w:szCs w:val="22"/>
        </w:rPr>
        <w:t>8</w:t>
      </w:r>
      <w:r w:rsidR="005745FA">
        <w:rPr>
          <w:rFonts w:ascii="Segoe UI" w:hAnsi="Segoe UI" w:cs="Segoe UI"/>
          <w:sz w:val="22"/>
          <w:szCs w:val="22"/>
        </w:rPr>
        <w:t>.1</w:t>
      </w:r>
      <w:r w:rsidRPr="00EA6DFE">
        <w:rPr>
          <w:rFonts w:ascii="Segoe UI" w:hAnsi="Segoe UI" w:cs="Segoe UI"/>
          <w:sz w:val="22"/>
          <w:szCs w:val="22"/>
        </w:rPr>
        <w:t>%</w:t>
      </w:r>
      <w:r w:rsidRPr="005745FA">
        <w:rPr>
          <w:rFonts w:ascii="Segoe UI" w:hAnsi="Segoe UI" w:cs="Segoe UI"/>
          <w:sz w:val="22"/>
          <w:szCs w:val="22"/>
        </w:rPr>
        <w:t>)</w:t>
      </w:r>
      <w:r w:rsidR="00514736" w:rsidRPr="005745FA">
        <w:rPr>
          <w:rFonts w:ascii="Segoe UI" w:hAnsi="Segoe UI" w:cs="Segoe UI"/>
          <w:sz w:val="22"/>
          <w:szCs w:val="22"/>
        </w:rPr>
        <w:t>.</w:t>
      </w:r>
      <w:r w:rsidR="00514736">
        <w:rPr>
          <w:rFonts w:ascii="Segoe UI" w:hAnsi="Segoe UI" w:cs="Segoe UI"/>
          <w:sz w:val="22"/>
          <w:szCs w:val="22"/>
        </w:rPr>
        <w:t xml:space="preserve">  </w:t>
      </w:r>
    </w:p>
    <w:p w14:paraId="376A6A9B" w14:textId="77777777" w:rsidR="001F4F6B" w:rsidRDefault="009B501A">
      <w:pPr>
        <w:pStyle w:val="CommentText"/>
        <w:rPr>
          <w:rFonts w:ascii="Segoe UI" w:hAnsi="Segoe UI" w:cs="Segoe UI"/>
          <w:sz w:val="22"/>
          <w:szCs w:val="22"/>
        </w:rPr>
      </w:pPr>
      <w:r>
        <w:rPr>
          <w:rFonts w:ascii="Segoe UI" w:hAnsi="Segoe UI" w:cs="Segoe UI"/>
          <w:sz w:val="22"/>
          <w:szCs w:val="22"/>
        </w:rPr>
        <w:t>Government interest patenting has grown over time</w:t>
      </w:r>
      <w:r w:rsidR="001F4F6B">
        <w:rPr>
          <w:rFonts w:ascii="Segoe UI" w:hAnsi="Segoe UI" w:cs="Segoe UI"/>
          <w:sz w:val="22"/>
          <w:szCs w:val="22"/>
        </w:rPr>
        <w:t xml:space="preserve"> across </w:t>
      </w:r>
      <w:r w:rsidR="00AA5724">
        <w:rPr>
          <w:rFonts w:ascii="Segoe UI" w:hAnsi="Segoe UI" w:cs="Segoe UI"/>
          <w:sz w:val="22"/>
          <w:szCs w:val="22"/>
        </w:rPr>
        <w:t xml:space="preserve">nearly </w:t>
      </w:r>
      <w:r>
        <w:rPr>
          <w:rFonts w:ascii="Segoe UI" w:hAnsi="Segoe UI" w:cs="Segoe UI"/>
          <w:sz w:val="22"/>
          <w:szCs w:val="22"/>
        </w:rPr>
        <w:t xml:space="preserve">all </w:t>
      </w:r>
      <w:r w:rsidR="001F4F6B">
        <w:rPr>
          <w:rFonts w:ascii="Segoe UI" w:hAnsi="Segoe UI" w:cs="Segoe UI"/>
          <w:sz w:val="22"/>
          <w:szCs w:val="22"/>
        </w:rPr>
        <w:t>technologies</w:t>
      </w:r>
      <w:r>
        <w:rPr>
          <w:rFonts w:ascii="Segoe UI" w:hAnsi="Segoe UI" w:cs="Segoe UI"/>
          <w:sz w:val="22"/>
          <w:szCs w:val="22"/>
        </w:rPr>
        <w:t xml:space="preserve"> areas</w:t>
      </w:r>
      <w:r w:rsidR="001F4F6B">
        <w:rPr>
          <w:rFonts w:ascii="Segoe UI" w:hAnsi="Segoe UI" w:cs="Segoe UI"/>
          <w:sz w:val="22"/>
          <w:szCs w:val="22"/>
        </w:rPr>
        <w:t xml:space="preserve">. In some fields, this growth largely matches increases in overall patenting, but, in other areas, growth in government-supported patents is outpacing the overall trends. </w:t>
      </w:r>
      <w:r>
        <w:rPr>
          <w:rFonts w:ascii="Segoe UI" w:hAnsi="Segoe UI" w:cs="Segoe UI"/>
          <w:sz w:val="22"/>
          <w:szCs w:val="22"/>
        </w:rPr>
        <w:t>Figure 3 depicts the share of total patent grants with a government interest for the same top six technology fields shown in Figure 2.</w:t>
      </w:r>
      <w:r w:rsidR="00011D19">
        <w:rPr>
          <w:rFonts w:ascii="Segoe UI" w:hAnsi="Segoe UI" w:cs="Segoe UI"/>
          <w:sz w:val="22"/>
          <w:szCs w:val="22"/>
        </w:rPr>
        <w:t xml:space="preserve"> </w:t>
      </w:r>
      <w:r w:rsidR="00691D8A">
        <w:rPr>
          <w:rFonts w:ascii="Segoe UI" w:hAnsi="Segoe UI" w:cs="Segoe UI"/>
          <w:sz w:val="22"/>
          <w:szCs w:val="22"/>
        </w:rPr>
        <w:t>[</w:t>
      </w:r>
      <w:r w:rsidR="00691D8A" w:rsidRPr="00EA6DFE">
        <w:rPr>
          <w:rFonts w:ascii="Segoe UI" w:hAnsi="Segoe UI" w:cs="Segoe UI"/>
          <w:sz w:val="22"/>
          <w:szCs w:val="22"/>
          <w:highlight w:val="yellow"/>
        </w:rPr>
        <w:t>Limit to patents granted 2005-2017 when most of the growth in government interest and overall patenting occurs (see Figure 1).]</w:t>
      </w:r>
    </w:p>
    <w:p w14:paraId="088888E4" w14:textId="77777777" w:rsidR="00B557D3" w:rsidRDefault="00E4779A" w:rsidP="00C5172F">
      <w:r>
        <w:rPr>
          <w:noProof/>
        </w:rPr>
        <w:drawing>
          <wp:inline distT="0" distB="0" distL="0" distR="0" wp14:anchorId="571AFE33" wp14:editId="4196DA2C">
            <wp:extent cx="5943600" cy="517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78F8385D" w14:textId="77777777" w:rsidR="008C0060" w:rsidRPr="00EA6DFE" w:rsidRDefault="008C0060" w:rsidP="008C0060">
      <w:pPr>
        <w:rPr>
          <w:sz w:val="24"/>
        </w:rPr>
      </w:pPr>
      <w:r w:rsidRPr="00EA6DFE">
        <w:rPr>
          <w:b/>
          <w:sz w:val="24"/>
        </w:rPr>
        <w:t xml:space="preserve">Figure </w:t>
      </w:r>
      <w:r w:rsidR="001F4F6B" w:rsidRPr="00EA6DFE">
        <w:rPr>
          <w:b/>
          <w:sz w:val="24"/>
        </w:rPr>
        <w:t>3</w:t>
      </w:r>
      <w:r w:rsidRPr="00EA6DFE">
        <w:rPr>
          <w:b/>
          <w:sz w:val="24"/>
        </w:rPr>
        <w:t xml:space="preserve">: </w:t>
      </w:r>
      <w:r w:rsidRPr="00EA6DFE">
        <w:rPr>
          <w:sz w:val="24"/>
        </w:rPr>
        <w:t xml:space="preserve">Share of </w:t>
      </w:r>
      <w:r w:rsidR="00CC7349">
        <w:rPr>
          <w:sz w:val="24"/>
        </w:rPr>
        <w:t xml:space="preserve">total patents with a </w:t>
      </w:r>
      <w:r w:rsidRPr="00EA6DFE">
        <w:rPr>
          <w:sz w:val="24"/>
        </w:rPr>
        <w:t>government interest</w:t>
      </w:r>
      <w:r w:rsidR="00CC7349">
        <w:rPr>
          <w:sz w:val="24"/>
        </w:rPr>
        <w:t xml:space="preserve"> 2005-</w:t>
      </w:r>
      <w:r w:rsidR="00CC7349" w:rsidRPr="005745FA">
        <w:rPr>
          <w:sz w:val="24"/>
        </w:rPr>
        <w:t>2017,</w:t>
      </w:r>
      <w:r w:rsidRPr="00EA6DFE">
        <w:rPr>
          <w:sz w:val="24"/>
        </w:rPr>
        <w:t xml:space="preserve"> </w:t>
      </w:r>
      <w:r w:rsidR="00CC7349">
        <w:rPr>
          <w:rFonts w:ascii="Segoe UI" w:hAnsi="Segoe UI" w:cs="Segoe UI"/>
        </w:rPr>
        <w:t xml:space="preserve">top </w:t>
      </w:r>
      <w:r w:rsidR="00E4779A">
        <w:rPr>
          <w:rFonts w:ascii="Segoe UI" w:hAnsi="Segoe UI" w:cs="Segoe UI"/>
        </w:rPr>
        <w:t>six</w:t>
      </w:r>
      <w:r w:rsidR="00CC7349">
        <w:rPr>
          <w:rFonts w:ascii="Segoe UI" w:hAnsi="Segoe UI" w:cs="Segoe UI"/>
        </w:rPr>
        <w:t xml:space="preserve"> technology fields</w:t>
      </w:r>
      <w:r w:rsidR="00CC7349" w:rsidRPr="00E62CF8" w:rsidDel="00CC7349">
        <w:rPr>
          <w:sz w:val="24"/>
        </w:rPr>
        <w:t xml:space="preserve"> </w:t>
      </w:r>
    </w:p>
    <w:p w14:paraId="6597480F" w14:textId="77777777" w:rsidR="005745FA" w:rsidRDefault="002943A2" w:rsidP="00E37F70">
      <w:pPr>
        <w:rPr>
          <w:rFonts w:ascii="Segoe UI" w:hAnsi="Segoe UI" w:cs="Segoe UI"/>
        </w:rPr>
      </w:pPr>
      <w:r>
        <w:rPr>
          <w:rFonts w:ascii="Segoe UI" w:hAnsi="Segoe UI" w:cs="Segoe UI"/>
        </w:rPr>
        <w:t>As Figure 3 shows, government-supported patents account for a sizeable</w:t>
      </w:r>
      <w:r w:rsidR="00691D8A">
        <w:rPr>
          <w:rFonts w:ascii="Segoe UI" w:hAnsi="Segoe UI" w:cs="Segoe UI"/>
        </w:rPr>
        <w:t xml:space="preserve"> share, roughly 15%, </w:t>
      </w:r>
      <w:r>
        <w:rPr>
          <w:rFonts w:ascii="Segoe UI" w:hAnsi="Segoe UI" w:cs="Segoe UI"/>
        </w:rPr>
        <w:t>of all biotechnology patents. However, t</w:t>
      </w:r>
      <w:r w:rsidR="005745FA">
        <w:rPr>
          <w:rFonts w:ascii="Segoe UI" w:hAnsi="Segoe UI" w:cs="Segoe UI"/>
        </w:rPr>
        <w:t xml:space="preserve">he share of biotechnology patents with a government interest has </w:t>
      </w:r>
      <w:r w:rsidR="005B037D">
        <w:rPr>
          <w:rFonts w:ascii="Segoe UI" w:hAnsi="Segoe UI" w:cs="Segoe UI"/>
        </w:rPr>
        <w:t>held</w:t>
      </w:r>
      <w:r w:rsidR="005745FA">
        <w:rPr>
          <w:rFonts w:ascii="Segoe UI" w:hAnsi="Segoe UI" w:cs="Segoe UI"/>
        </w:rPr>
        <w:t xml:space="preserve"> relatively constant from 2005 through 2017, indicating that growth in biotechnology government interest patents has largely kept pace with overall patenting in that field. By contrast, the share of pharmaceutical and organic fine chemistry patents with a government interest has increased. Government-supported patents </w:t>
      </w:r>
      <w:r>
        <w:rPr>
          <w:rFonts w:ascii="Segoe UI" w:hAnsi="Segoe UI" w:cs="Segoe UI"/>
        </w:rPr>
        <w:t>comprised about</w:t>
      </w:r>
      <w:r w:rsidR="005745FA">
        <w:rPr>
          <w:rFonts w:ascii="Segoe UI" w:hAnsi="Segoe UI" w:cs="Segoe UI"/>
        </w:rPr>
        <w:t xml:space="preserve"> </w:t>
      </w:r>
      <w:r>
        <w:rPr>
          <w:rFonts w:ascii="Segoe UI" w:hAnsi="Segoe UI" w:cs="Segoe UI"/>
        </w:rPr>
        <w:t xml:space="preserve">8.0% of all pharmaceutical patents in 2005. This percentage climbed to 12.2% in 2017. Likewise, the share of organic fine chemistry patents with a government interest rose from 3.9% to 6.5% over the same period. </w:t>
      </w:r>
      <w:r w:rsidR="00E37F70">
        <w:rPr>
          <w:rFonts w:ascii="Segoe UI" w:hAnsi="Segoe UI" w:cs="Segoe UI"/>
        </w:rPr>
        <w:t>The factors driving this increasing intensity of government-supported patents in pharmaceutical and organic fine chemistry are unclear and merit further study.</w:t>
      </w:r>
    </w:p>
    <w:p w14:paraId="77B46673" w14:textId="77777777" w:rsidR="00E37F70" w:rsidRDefault="00E37F70" w:rsidP="00C5172F">
      <w:pPr>
        <w:rPr>
          <w:rFonts w:ascii="Cambria" w:hAnsi="Cambria" w:cs="Segoe UI"/>
          <w:b/>
          <w:sz w:val="28"/>
        </w:rPr>
      </w:pPr>
    </w:p>
    <w:p w14:paraId="5ECB4568" w14:textId="77777777" w:rsidR="00B557D3" w:rsidRPr="00B557D3" w:rsidRDefault="005B2219" w:rsidP="00C5172F">
      <w:pPr>
        <w:rPr>
          <w:rFonts w:ascii="Segoe UI" w:eastAsiaTheme="majorEastAsia" w:hAnsi="Segoe UI" w:cs="Segoe UI"/>
          <w:iCs/>
        </w:rPr>
      </w:pPr>
      <w:r>
        <w:rPr>
          <w:rFonts w:ascii="Cambria" w:hAnsi="Cambria" w:cs="Segoe UI"/>
          <w:b/>
          <w:sz w:val="28"/>
        </w:rPr>
        <w:t xml:space="preserve">Government Interest Patents </w:t>
      </w:r>
      <w:r w:rsidR="005B037D">
        <w:rPr>
          <w:rFonts w:ascii="Cambria" w:hAnsi="Cambria" w:cs="Segoe UI"/>
          <w:b/>
          <w:sz w:val="28"/>
        </w:rPr>
        <w:t xml:space="preserve">Are </w:t>
      </w:r>
      <w:r>
        <w:rPr>
          <w:rFonts w:ascii="Cambria" w:hAnsi="Cambria" w:cs="Segoe UI"/>
          <w:b/>
          <w:sz w:val="28"/>
        </w:rPr>
        <w:t xml:space="preserve">Concentrated among </w:t>
      </w:r>
      <w:r w:rsidR="005B037D">
        <w:rPr>
          <w:rFonts w:ascii="Cambria" w:hAnsi="Cambria" w:cs="Segoe UI"/>
          <w:b/>
          <w:sz w:val="28"/>
        </w:rPr>
        <w:t xml:space="preserve">a </w:t>
      </w:r>
      <w:r>
        <w:rPr>
          <w:rFonts w:ascii="Cambria" w:hAnsi="Cambria" w:cs="Segoe UI"/>
          <w:b/>
          <w:sz w:val="28"/>
        </w:rPr>
        <w:t>Small Set of Funding Agencies but Dispersed across Sectors</w:t>
      </w:r>
      <w:r w:rsidR="00B557D3" w:rsidRPr="00247105">
        <w:rPr>
          <w:rFonts w:ascii="Segoe UI" w:eastAsiaTheme="majorEastAsia" w:hAnsi="Segoe UI" w:cs="Segoe UI"/>
          <w:iCs/>
        </w:rPr>
        <w:t xml:space="preserve"> </w:t>
      </w:r>
    </w:p>
    <w:p w14:paraId="37329BE5" w14:textId="77777777" w:rsidR="003B16D5" w:rsidRDefault="00C5172F" w:rsidP="00C5172F">
      <w:pPr>
        <w:rPr>
          <w:rFonts w:ascii="Segoe UI" w:hAnsi="Segoe UI" w:cs="Segoe UI"/>
        </w:rPr>
      </w:pPr>
      <w:r w:rsidRPr="00FB3ED7">
        <w:rPr>
          <w:rFonts w:ascii="Segoe UI" w:hAnsi="Segoe UI" w:cs="Segoe UI"/>
        </w:rPr>
        <w:t xml:space="preserve">The </w:t>
      </w:r>
      <w:r w:rsidR="00AA5724">
        <w:rPr>
          <w:rFonts w:ascii="Segoe UI" w:hAnsi="Segoe UI" w:cs="Segoe UI"/>
        </w:rPr>
        <w:t>f</w:t>
      </w:r>
      <w:r w:rsidRPr="00FB3ED7">
        <w:rPr>
          <w:rFonts w:ascii="Segoe UI" w:hAnsi="Segoe UI" w:cs="Segoe UI"/>
        </w:rPr>
        <w:t xml:space="preserve">ederal R&amp;D landscape, as measured by both </w:t>
      </w:r>
      <w:r w:rsidR="001F4F6B">
        <w:rPr>
          <w:rFonts w:ascii="Segoe UI" w:hAnsi="Segoe UI" w:cs="Segoe UI"/>
        </w:rPr>
        <w:t xml:space="preserve">R&amp;D </w:t>
      </w:r>
      <w:r w:rsidRPr="00FB3ED7">
        <w:rPr>
          <w:rFonts w:ascii="Segoe UI" w:hAnsi="Segoe UI" w:cs="Segoe UI"/>
        </w:rPr>
        <w:t>dollar inputs and government interest patents, is concentrated among a small set of US Federal Departments and Agencies.</w:t>
      </w:r>
      <w:r w:rsidRPr="00FB3ED7">
        <w:rPr>
          <w:rFonts w:ascii="Segoe UI" w:hAnsi="Segoe UI" w:cs="Segoe UI"/>
          <w:vertAlign w:val="superscript"/>
        </w:rPr>
        <w:footnoteReference w:id="7"/>
      </w:r>
      <w:r w:rsidRPr="00FB3ED7">
        <w:rPr>
          <w:rFonts w:ascii="Segoe UI" w:hAnsi="Segoe UI" w:cs="Segoe UI"/>
        </w:rPr>
        <w:t xml:space="preserve"> Figure </w:t>
      </w:r>
      <w:r w:rsidR="001F4F6B">
        <w:rPr>
          <w:rFonts w:ascii="Segoe UI" w:hAnsi="Segoe UI" w:cs="Segoe UI"/>
        </w:rPr>
        <w:t>4</w:t>
      </w:r>
      <w:r w:rsidR="001F4F6B" w:rsidRPr="00FB3ED7">
        <w:rPr>
          <w:rFonts w:ascii="Segoe UI" w:hAnsi="Segoe UI" w:cs="Segoe UI"/>
        </w:rPr>
        <w:t xml:space="preserve"> </w:t>
      </w:r>
      <w:r w:rsidR="001F4F6B">
        <w:rPr>
          <w:rFonts w:ascii="Segoe UI" w:hAnsi="Segoe UI" w:cs="Segoe UI"/>
        </w:rPr>
        <w:t xml:space="preserve">depicts the number of government interest patents for the top </w:t>
      </w:r>
      <w:r w:rsidRPr="00FB3ED7">
        <w:rPr>
          <w:rFonts w:ascii="Segoe UI" w:hAnsi="Segoe UI" w:cs="Segoe UI"/>
        </w:rPr>
        <w:t>high-level agencies</w:t>
      </w:r>
      <w:r w:rsidR="005B037D">
        <w:rPr>
          <w:rStyle w:val="FootnoteReference"/>
          <w:rFonts w:ascii="Segoe UI" w:hAnsi="Segoe UI" w:cs="Segoe UI"/>
        </w:rPr>
        <w:footnoteReference w:id="8"/>
      </w:r>
      <w:r w:rsidR="00653D6A">
        <w:rPr>
          <w:rFonts w:ascii="Segoe UI" w:hAnsi="Segoe UI" w:cs="Segoe UI"/>
        </w:rPr>
        <w:t xml:space="preserve">: Department of Health and Human Services (DHHS), Department of Defense (DOD), Department of Energy (DOE), National Science Foundation (NSF), and National Aeronautics and Space Administration (NASA). Together, these five agencies </w:t>
      </w:r>
      <w:r w:rsidR="00653D6A" w:rsidRPr="003238BE">
        <w:rPr>
          <w:rFonts w:ascii="Segoe UI" w:hAnsi="Segoe UI" w:cs="Segoe UI"/>
        </w:rPr>
        <w:t xml:space="preserve">accounted for about </w:t>
      </w:r>
      <w:r w:rsidR="003238BE" w:rsidRPr="00EA6DFE">
        <w:rPr>
          <w:rFonts w:ascii="Segoe UI" w:hAnsi="Segoe UI" w:cs="Segoe UI"/>
        </w:rPr>
        <w:t>75</w:t>
      </w:r>
      <w:r w:rsidR="00653D6A" w:rsidRPr="003238BE">
        <w:rPr>
          <w:rFonts w:ascii="Segoe UI" w:hAnsi="Segoe UI" w:cs="Segoe UI"/>
        </w:rPr>
        <w:t>% of government interest patents granted in 201</w:t>
      </w:r>
      <w:r w:rsidR="003238BE" w:rsidRPr="00EA6DFE">
        <w:rPr>
          <w:rFonts w:ascii="Segoe UI" w:hAnsi="Segoe UI" w:cs="Segoe UI"/>
        </w:rPr>
        <w:t>7</w:t>
      </w:r>
      <w:r w:rsidR="00653D6A">
        <w:rPr>
          <w:rFonts w:ascii="Segoe UI" w:hAnsi="Segoe UI" w:cs="Segoe UI"/>
        </w:rPr>
        <w:t xml:space="preserve"> (and roughly 93% of total federal R&amp;D spending in 2015).</w:t>
      </w:r>
      <w:r w:rsidR="003238BE">
        <w:rPr>
          <w:rStyle w:val="FootnoteReference"/>
          <w:rFonts w:ascii="Segoe UI" w:hAnsi="Segoe UI" w:cs="Segoe UI"/>
        </w:rPr>
        <w:footnoteReference w:id="9"/>
      </w:r>
      <w:r w:rsidR="00653D6A">
        <w:rPr>
          <w:rFonts w:ascii="Segoe UI" w:hAnsi="Segoe UI" w:cs="Segoe UI"/>
        </w:rPr>
        <w:t xml:space="preserve"> </w:t>
      </w:r>
      <w:r w:rsidR="003B16D5">
        <w:rPr>
          <w:rFonts w:ascii="Segoe UI" w:hAnsi="Segoe UI" w:cs="Segoe UI"/>
        </w:rPr>
        <w:t xml:space="preserve">Historically, DHHS, largely through </w:t>
      </w:r>
      <w:r w:rsidR="00373D86">
        <w:rPr>
          <w:rFonts w:ascii="Segoe UI" w:hAnsi="Segoe UI" w:cs="Segoe UI"/>
        </w:rPr>
        <w:t xml:space="preserve">the </w:t>
      </w:r>
      <w:r w:rsidR="003B16D5" w:rsidRPr="003B16D5">
        <w:rPr>
          <w:rFonts w:ascii="Segoe UI" w:hAnsi="Segoe UI" w:cs="Segoe UI"/>
        </w:rPr>
        <w:t>National Institutes of Health (NIH)</w:t>
      </w:r>
      <w:r w:rsidR="003B16D5">
        <w:rPr>
          <w:rFonts w:ascii="Segoe UI" w:hAnsi="Segoe UI" w:cs="Segoe UI"/>
        </w:rPr>
        <w:t xml:space="preserve"> programs, has supported the most government interest patents granted each year.</w:t>
      </w:r>
      <w:r w:rsidR="003E6F94">
        <w:rPr>
          <w:rStyle w:val="FootnoteReference"/>
          <w:rFonts w:ascii="Segoe UI" w:hAnsi="Segoe UI" w:cs="Segoe UI"/>
        </w:rPr>
        <w:footnoteReference w:id="10"/>
      </w:r>
      <w:r w:rsidR="003B16D5">
        <w:rPr>
          <w:rFonts w:ascii="Segoe UI" w:hAnsi="Segoe UI" w:cs="Segoe UI"/>
        </w:rPr>
        <w:t xml:space="preserve"> </w:t>
      </w:r>
      <w:r w:rsidR="00373D86">
        <w:rPr>
          <w:rFonts w:ascii="Segoe UI" w:hAnsi="Segoe UI" w:cs="Segoe UI"/>
        </w:rPr>
        <w:t xml:space="preserve">More recently, however, a growing share of government interest patents are </w:t>
      </w:r>
      <w:r w:rsidR="00373D86" w:rsidRPr="00D975D8">
        <w:rPr>
          <w:rFonts w:ascii="Segoe UI" w:hAnsi="Segoe UI" w:cs="Segoe UI"/>
        </w:rPr>
        <w:t xml:space="preserve">emerging from </w:t>
      </w:r>
      <w:r w:rsidR="003B16D5" w:rsidRPr="00D975D8">
        <w:rPr>
          <w:rFonts w:ascii="Segoe UI" w:hAnsi="Segoe UI" w:cs="Segoe UI"/>
        </w:rPr>
        <w:t>DOD</w:t>
      </w:r>
      <w:r w:rsidR="00373D86" w:rsidRPr="00D975D8">
        <w:rPr>
          <w:rFonts w:ascii="Segoe UI" w:hAnsi="Segoe UI" w:cs="Segoe UI"/>
        </w:rPr>
        <w:t>,</w:t>
      </w:r>
      <w:r w:rsidR="003B16D5" w:rsidRPr="00D975D8">
        <w:rPr>
          <w:rFonts w:ascii="Segoe UI" w:hAnsi="Segoe UI" w:cs="Segoe UI"/>
        </w:rPr>
        <w:t xml:space="preserve"> and to some extent </w:t>
      </w:r>
      <w:r w:rsidR="00D975D8" w:rsidRPr="00D975D8">
        <w:rPr>
          <w:rFonts w:ascii="Segoe UI" w:hAnsi="Segoe UI" w:cs="Segoe UI"/>
        </w:rPr>
        <w:t>NSF</w:t>
      </w:r>
      <w:r w:rsidR="00696E15" w:rsidRPr="00D975D8">
        <w:rPr>
          <w:rFonts w:ascii="Segoe UI" w:hAnsi="Segoe UI" w:cs="Segoe UI"/>
        </w:rPr>
        <w:t xml:space="preserve">, </w:t>
      </w:r>
      <w:r w:rsidR="00373D86" w:rsidRPr="00D975D8">
        <w:rPr>
          <w:rFonts w:ascii="Segoe UI" w:hAnsi="Segoe UI" w:cs="Segoe UI"/>
        </w:rPr>
        <w:t xml:space="preserve">funding. Among government interest patents granted in 2017, </w:t>
      </w:r>
      <w:r w:rsidR="00D975D8">
        <w:rPr>
          <w:rFonts w:ascii="Segoe UI" w:hAnsi="Segoe UI" w:cs="Segoe UI"/>
        </w:rPr>
        <w:t xml:space="preserve">DHHS supported </w:t>
      </w:r>
      <w:r w:rsidR="00373D86" w:rsidRPr="00D975D8">
        <w:rPr>
          <w:rFonts w:ascii="Segoe UI" w:hAnsi="Segoe UI" w:cs="Segoe UI"/>
        </w:rPr>
        <w:t xml:space="preserve">roughly </w:t>
      </w:r>
      <w:r w:rsidR="00D975D8" w:rsidRPr="00EA6DFE">
        <w:rPr>
          <w:rFonts w:ascii="Segoe UI" w:hAnsi="Segoe UI" w:cs="Segoe UI"/>
        </w:rPr>
        <w:t>32</w:t>
      </w:r>
      <w:r w:rsidR="00373D86" w:rsidRPr="00D975D8">
        <w:rPr>
          <w:rFonts w:ascii="Segoe UI" w:hAnsi="Segoe UI" w:cs="Segoe UI"/>
        </w:rPr>
        <w:t xml:space="preserve">%, </w:t>
      </w:r>
      <w:r w:rsidR="00D975D8">
        <w:rPr>
          <w:rFonts w:ascii="Segoe UI" w:hAnsi="Segoe UI" w:cs="Segoe UI"/>
        </w:rPr>
        <w:t xml:space="preserve">DOD </w:t>
      </w:r>
      <w:r w:rsidR="00D975D8" w:rsidRPr="00EA6DFE">
        <w:rPr>
          <w:rFonts w:ascii="Segoe UI" w:hAnsi="Segoe UI" w:cs="Segoe UI"/>
        </w:rPr>
        <w:t>18</w:t>
      </w:r>
      <w:r w:rsidR="00373D86" w:rsidRPr="00D975D8">
        <w:rPr>
          <w:rFonts w:ascii="Segoe UI" w:hAnsi="Segoe UI" w:cs="Segoe UI"/>
        </w:rPr>
        <w:t xml:space="preserve">%, and </w:t>
      </w:r>
      <w:r w:rsidR="00D975D8" w:rsidRPr="00D975D8">
        <w:rPr>
          <w:rFonts w:ascii="Segoe UI" w:hAnsi="Segoe UI" w:cs="Segoe UI"/>
        </w:rPr>
        <w:t>NSF</w:t>
      </w:r>
      <w:r w:rsidR="00D975D8">
        <w:rPr>
          <w:rFonts w:ascii="Segoe UI" w:hAnsi="Segoe UI" w:cs="Segoe UI"/>
        </w:rPr>
        <w:t xml:space="preserve"> 12%</w:t>
      </w:r>
      <w:r w:rsidR="00373D86" w:rsidRPr="00D975D8">
        <w:rPr>
          <w:rFonts w:ascii="Segoe UI" w:hAnsi="Segoe UI" w:cs="Segoe UI"/>
        </w:rPr>
        <w:t>.</w:t>
      </w:r>
      <w:r w:rsidR="00D975D8" w:rsidRPr="00D975D8">
        <w:rPr>
          <w:rFonts w:ascii="Segoe UI" w:hAnsi="Segoe UI" w:cs="Segoe UI"/>
        </w:rPr>
        <w:t xml:space="preserve"> DOE supplied fundin</w:t>
      </w:r>
      <w:r w:rsidR="00D975D8">
        <w:rPr>
          <w:rFonts w:ascii="Segoe UI" w:hAnsi="Segoe UI" w:cs="Segoe UI"/>
        </w:rPr>
        <w:t>g for 11% of government interest patents granted in 2017, down from previous grant years when roughly 17% of such patents were DOE-supported.</w:t>
      </w:r>
      <w:r w:rsidR="00D975D8">
        <w:rPr>
          <w:rStyle w:val="FootnoteReference"/>
          <w:rFonts w:ascii="Segoe UI" w:hAnsi="Segoe UI" w:cs="Segoe UI"/>
        </w:rPr>
        <w:footnoteReference w:id="11"/>
      </w:r>
      <w:r w:rsidR="003B16D5">
        <w:rPr>
          <w:rFonts w:ascii="Segoe UI" w:hAnsi="Segoe UI" w:cs="Segoe UI"/>
        </w:rPr>
        <w:t xml:space="preserve"> </w:t>
      </w:r>
    </w:p>
    <w:p w14:paraId="2B93765C" w14:textId="77777777" w:rsidR="00E62CF8" w:rsidRDefault="00AA5724" w:rsidP="00C5172F">
      <w:pPr>
        <w:rPr>
          <w:rFonts w:ascii="Segoe UI" w:hAnsi="Segoe UI" w:cs="Segoe UI"/>
        </w:rPr>
      </w:pPr>
      <w:r>
        <w:rPr>
          <w:rFonts w:ascii="Segoe UI" w:hAnsi="Segoe UI" w:cs="Segoe UI"/>
        </w:rPr>
        <w:t xml:space="preserve">While </w:t>
      </w:r>
      <w:r w:rsidR="009306B0">
        <w:rPr>
          <w:rFonts w:ascii="Segoe UI" w:hAnsi="Segoe UI" w:cs="Segoe UI"/>
        </w:rPr>
        <w:t xml:space="preserve">only a few agencies supply most of </w:t>
      </w:r>
      <w:r>
        <w:rPr>
          <w:rFonts w:ascii="Segoe UI" w:hAnsi="Segoe UI" w:cs="Segoe UI"/>
        </w:rPr>
        <w:t xml:space="preserve">the </w:t>
      </w:r>
      <w:r w:rsidR="00CE6725">
        <w:rPr>
          <w:rFonts w:ascii="Segoe UI" w:hAnsi="Segoe UI" w:cs="Segoe UI"/>
        </w:rPr>
        <w:t xml:space="preserve">funding that supports government interest patenting, the recipients of those investments are dispersed across sectors. </w:t>
      </w:r>
      <w:r>
        <w:rPr>
          <w:rFonts w:ascii="Segoe UI" w:hAnsi="Segoe UI" w:cs="Segoe UI"/>
        </w:rPr>
        <w:t xml:space="preserve"> </w:t>
      </w:r>
      <w:r w:rsidR="00653D6A">
        <w:rPr>
          <w:rFonts w:ascii="Segoe UI" w:hAnsi="Segoe UI" w:cs="Segoe UI"/>
        </w:rPr>
        <w:t>F</w:t>
      </w:r>
      <w:r w:rsidR="00CB5DB1">
        <w:rPr>
          <w:rFonts w:ascii="Segoe UI" w:hAnsi="Segoe UI" w:cs="Segoe UI"/>
        </w:rPr>
        <w:t xml:space="preserve">or each agency, Figure 4 shows </w:t>
      </w:r>
      <w:r w:rsidR="00335604">
        <w:rPr>
          <w:rFonts w:ascii="Segoe UI" w:hAnsi="Segoe UI" w:cs="Segoe UI"/>
        </w:rPr>
        <w:t xml:space="preserve">the number of </w:t>
      </w:r>
      <w:r w:rsidR="00C5172F" w:rsidRPr="00FB3ED7">
        <w:rPr>
          <w:rFonts w:ascii="Segoe UI" w:hAnsi="Segoe UI" w:cs="Segoe UI"/>
        </w:rPr>
        <w:t xml:space="preserve">government interest patents </w:t>
      </w:r>
      <w:r w:rsidR="00CB5DB1">
        <w:rPr>
          <w:rFonts w:ascii="Segoe UI" w:hAnsi="Segoe UI" w:cs="Segoe UI"/>
        </w:rPr>
        <w:t xml:space="preserve">broken out by the </w:t>
      </w:r>
      <w:r w:rsidR="00E62CF8">
        <w:rPr>
          <w:rFonts w:ascii="Segoe UI" w:hAnsi="Segoe UI" w:cs="Segoe UI"/>
        </w:rPr>
        <w:t>type</w:t>
      </w:r>
      <w:r w:rsidR="00CB5DB1">
        <w:rPr>
          <w:rFonts w:ascii="Segoe UI" w:hAnsi="Segoe UI" w:cs="Segoe UI"/>
        </w:rPr>
        <w:t xml:space="preserve"> of “assignee”</w:t>
      </w:r>
      <w:r w:rsidR="00E62CF8">
        <w:rPr>
          <w:rFonts w:ascii="Segoe UI" w:hAnsi="Segoe UI" w:cs="Segoe UI"/>
        </w:rPr>
        <w:t xml:space="preserve">, that is the </w:t>
      </w:r>
      <w:r w:rsidR="00CB5DB1">
        <w:rPr>
          <w:rFonts w:ascii="Segoe UI" w:hAnsi="Segoe UI" w:cs="Segoe UI"/>
        </w:rPr>
        <w:t>entity to which the patent was issued</w:t>
      </w:r>
      <w:r w:rsidR="00E62CF8">
        <w:rPr>
          <w:rFonts w:ascii="Segoe UI" w:hAnsi="Segoe UI" w:cs="Segoe UI"/>
        </w:rPr>
        <w:t xml:space="preserve"> and presumably the recipient of the federal R&amp;D funds</w:t>
      </w:r>
      <w:r w:rsidR="00CB5DB1">
        <w:rPr>
          <w:rFonts w:ascii="Segoe UI" w:hAnsi="Segoe UI" w:cs="Segoe UI"/>
        </w:rPr>
        <w:t xml:space="preserve">. </w:t>
      </w:r>
      <w:r w:rsidR="00CE6725">
        <w:rPr>
          <w:rFonts w:ascii="Segoe UI" w:hAnsi="Segoe UI" w:cs="Segoe UI"/>
        </w:rPr>
        <w:t xml:space="preserve">First, note that each one of the top funding agencies has supported patents assigned to both academic and corporate </w:t>
      </w:r>
      <w:r w:rsidR="00B06703">
        <w:rPr>
          <w:rFonts w:ascii="Segoe UI" w:hAnsi="Segoe UI" w:cs="Segoe UI"/>
        </w:rPr>
        <w:t>entities</w:t>
      </w:r>
      <w:r w:rsidR="00CE6725">
        <w:rPr>
          <w:rFonts w:ascii="Segoe UI" w:hAnsi="Segoe UI" w:cs="Segoe UI"/>
        </w:rPr>
        <w:t xml:space="preserve">, though to varying degrees. </w:t>
      </w:r>
    </w:p>
    <w:p w14:paraId="53307CEA" w14:textId="77777777" w:rsidR="00254D37" w:rsidRDefault="00335604" w:rsidP="00C5172F">
      <w:pPr>
        <w:rPr>
          <w:rFonts w:ascii="Segoe UI" w:hAnsi="Segoe UI" w:cs="Segoe UI"/>
        </w:rPr>
      </w:pPr>
      <w:r>
        <w:rPr>
          <w:rFonts w:ascii="Segoe UI" w:hAnsi="Segoe UI" w:cs="Segoe UI"/>
          <w:noProof/>
        </w:rPr>
        <w:drawing>
          <wp:inline distT="0" distB="0" distL="0" distR="0" wp14:anchorId="533C9630" wp14:editId="565A7EDC">
            <wp:extent cx="5943600" cy="5171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nders-assignees.dodged_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commentRangeStart w:id="1"/>
      <w:commentRangeEnd w:id="1"/>
      <w:r w:rsidR="00A23BA5">
        <w:rPr>
          <w:rStyle w:val="CommentReference"/>
        </w:rPr>
        <w:commentReference w:id="1"/>
      </w:r>
    </w:p>
    <w:p w14:paraId="06350084" w14:textId="77777777" w:rsidR="00254D37" w:rsidRPr="00DD7547" w:rsidRDefault="00254D37" w:rsidP="00C5172F">
      <w:pPr>
        <w:rPr>
          <w:rFonts w:ascii="Segoe UI" w:hAnsi="Segoe UI" w:cs="Segoe UI"/>
        </w:rPr>
      </w:pPr>
      <w:r w:rsidRPr="00DD7547">
        <w:rPr>
          <w:rFonts w:ascii="Segoe UI" w:hAnsi="Segoe UI" w:cs="Segoe UI"/>
          <w:b/>
        </w:rPr>
        <w:t>Figure</w:t>
      </w:r>
      <w:r w:rsidR="00E62CF8">
        <w:rPr>
          <w:rFonts w:ascii="Segoe UI" w:hAnsi="Segoe UI" w:cs="Segoe UI"/>
          <w:b/>
        </w:rPr>
        <w:t xml:space="preserve"> 4</w:t>
      </w:r>
      <w:r w:rsidR="000D24E3">
        <w:rPr>
          <w:rFonts w:ascii="Segoe UI" w:hAnsi="Segoe UI" w:cs="Segoe UI"/>
          <w:b/>
        </w:rPr>
        <w:t>:</w:t>
      </w:r>
      <w:r w:rsidRPr="00DD7547">
        <w:rPr>
          <w:rFonts w:ascii="Segoe UI" w:hAnsi="Segoe UI" w:cs="Segoe UI"/>
        </w:rPr>
        <w:t xml:space="preserve"> </w:t>
      </w:r>
      <w:r w:rsidR="00E62CF8">
        <w:rPr>
          <w:rFonts w:ascii="Segoe UI" w:hAnsi="Segoe UI" w:cs="Segoe UI"/>
        </w:rPr>
        <w:t>Government interest patents granted 1980</w:t>
      </w:r>
      <w:r w:rsidR="00E62CF8" w:rsidRPr="003E6F94">
        <w:rPr>
          <w:rFonts w:ascii="Segoe UI" w:hAnsi="Segoe UI" w:cs="Segoe UI"/>
        </w:rPr>
        <w:t>-2017,</w:t>
      </w:r>
      <w:r w:rsidR="00E62CF8">
        <w:rPr>
          <w:rFonts w:ascii="Segoe UI" w:hAnsi="Segoe UI" w:cs="Segoe UI"/>
        </w:rPr>
        <w:t xml:space="preserve"> top </w:t>
      </w:r>
      <w:r w:rsidRPr="00DD7547">
        <w:rPr>
          <w:rFonts w:ascii="Segoe UI" w:hAnsi="Segoe UI" w:cs="Segoe UI"/>
        </w:rPr>
        <w:t xml:space="preserve">high-level </w:t>
      </w:r>
      <w:r w:rsidR="00E62CF8">
        <w:rPr>
          <w:rFonts w:ascii="Segoe UI" w:hAnsi="Segoe UI" w:cs="Segoe UI"/>
        </w:rPr>
        <w:t>f</w:t>
      </w:r>
      <w:r w:rsidRPr="00DD7547">
        <w:rPr>
          <w:rFonts w:ascii="Segoe UI" w:hAnsi="Segoe UI" w:cs="Segoe UI"/>
        </w:rPr>
        <w:t xml:space="preserve">ederal funding agencies and </w:t>
      </w:r>
      <w:r>
        <w:rPr>
          <w:rFonts w:ascii="Segoe UI" w:hAnsi="Segoe UI" w:cs="Segoe UI"/>
        </w:rPr>
        <w:t xml:space="preserve">assignee sectors </w:t>
      </w:r>
      <w:r w:rsidRPr="00DD7547">
        <w:rPr>
          <w:rFonts w:ascii="Segoe UI" w:hAnsi="Segoe UI" w:cs="Segoe UI"/>
        </w:rPr>
        <w:t xml:space="preserve"> </w:t>
      </w:r>
    </w:p>
    <w:p w14:paraId="3A6183D2" w14:textId="77777777" w:rsidR="00B2101E" w:rsidRPr="00EA6DFE" w:rsidRDefault="00C5172F" w:rsidP="00927274">
      <w:pPr>
        <w:rPr>
          <w:rFonts w:ascii="Segoe UI" w:hAnsi="Segoe UI" w:cs="Segoe UI"/>
          <w:highlight w:val="yellow"/>
        </w:rPr>
      </w:pPr>
      <w:r w:rsidRPr="00DD7547">
        <w:rPr>
          <w:rFonts w:ascii="Segoe UI" w:hAnsi="Segoe UI" w:cs="Segoe UI"/>
        </w:rPr>
        <w:t xml:space="preserve">Perhaps unsurprisingly, the greatest shares of </w:t>
      </w:r>
      <w:r w:rsidR="00483AE8">
        <w:rPr>
          <w:rFonts w:ascii="Segoe UI" w:hAnsi="Segoe UI" w:cs="Segoe UI"/>
        </w:rPr>
        <w:t xml:space="preserve">patents supported by DHHS and NSF funding are assigned to </w:t>
      </w:r>
      <w:r w:rsidRPr="00DD7547">
        <w:rPr>
          <w:rFonts w:ascii="Segoe UI" w:hAnsi="Segoe UI" w:cs="Segoe UI"/>
        </w:rPr>
        <w:t>universit</w:t>
      </w:r>
      <w:r w:rsidR="00483AE8">
        <w:rPr>
          <w:rFonts w:ascii="Segoe UI" w:hAnsi="Segoe UI" w:cs="Segoe UI"/>
        </w:rPr>
        <w:t>ies</w:t>
      </w:r>
      <w:r w:rsidRPr="00DD7547">
        <w:rPr>
          <w:rFonts w:ascii="Segoe UI" w:hAnsi="Segoe UI" w:cs="Segoe UI"/>
        </w:rPr>
        <w:t xml:space="preserve"> </w:t>
      </w:r>
      <w:r w:rsidR="00483AE8">
        <w:rPr>
          <w:rFonts w:ascii="Segoe UI" w:hAnsi="Segoe UI" w:cs="Segoe UI"/>
        </w:rPr>
        <w:t>and hospitals</w:t>
      </w:r>
      <w:r w:rsidR="00887574">
        <w:rPr>
          <w:rFonts w:ascii="Segoe UI" w:hAnsi="Segoe UI" w:cs="Segoe UI"/>
        </w:rPr>
        <w:t>, (81% of DHHS- and 88% of NSF-supported patents granted 1980-2017)</w:t>
      </w:r>
      <w:r w:rsidRPr="00DD7547">
        <w:rPr>
          <w:rFonts w:ascii="Segoe UI" w:hAnsi="Segoe UI" w:cs="Segoe UI"/>
        </w:rPr>
        <w:t>.</w:t>
      </w:r>
      <w:r w:rsidR="00483AE8" w:rsidRPr="00DD7547">
        <w:rPr>
          <w:rFonts w:ascii="Segoe UI" w:hAnsi="Segoe UI" w:cs="Segoe UI"/>
          <w:vertAlign w:val="superscript"/>
        </w:rPr>
        <w:footnoteReference w:id="12"/>
      </w:r>
      <w:r w:rsidRPr="00DD7547">
        <w:rPr>
          <w:rFonts w:ascii="Segoe UI" w:hAnsi="Segoe UI" w:cs="Segoe UI"/>
        </w:rPr>
        <w:t xml:space="preserve">  Both NSF and </w:t>
      </w:r>
      <w:r w:rsidR="00483AE8">
        <w:rPr>
          <w:rFonts w:ascii="Segoe UI" w:hAnsi="Segoe UI" w:cs="Segoe UI"/>
        </w:rPr>
        <w:t>DHHS</w:t>
      </w:r>
      <w:r w:rsidR="00483AE8" w:rsidRPr="00DD7547">
        <w:rPr>
          <w:rFonts w:ascii="Segoe UI" w:hAnsi="Segoe UI" w:cs="Segoe UI"/>
        </w:rPr>
        <w:t xml:space="preserve"> </w:t>
      </w:r>
      <w:r w:rsidRPr="00DD7547">
        <w:rPr>
          <w:rFonts w:ascii="Segoe UI" w:hAnsi="Segoe UI" w:cs="Segoe UI"/>
        </w:rPr>
        <w:t>fund a variety of R&amp;D projects with traditional linkages to university-based disciplines of inquiry.</w:t>
      </w:r>
      <w:r w:rsidR="00CE6725">
        <w:rPr>
          <w:rFonts w:ascii="Segoe UI" w:hAnsi="Segoe UI" w:cs="Segoe UI"/>
        </w:rPr>
        <w:t xml:space="preserve"> </w:t>
      </w:r>
      <w:r w:rsidR="00B06703">
        <w:rPr>
          <w:rFonts w:ascii="Segoe UI" w:hAnsi="Segoe UI" w:cs="Segoe UI"/>
        </w:rPr>
        <w:t xml:space="preserve">In the last decade, for example, DHHS supported patents assigned to academic </w:t>
      </w:r>
      <w:r w:rsidR="00B06703" w:rsidRPr="00B2101E">
        <w:rPr>
          <w:rFonts w:ascii="Segoe UI" w:hAnsi="Segoe UI" w:cs="Segoe UI"/>
        </w:rPr>
        <w:t xml:space="preserve">institutions </w:t>
      </w:r>
      <w:r w:rsidR="00626A9E">
        <w:rPr>
          <w:rFonts w:ascii="Segoe UI" w:hAnsi="Segoe UI" w:cs="Segoe UI"/>
        </w:rPr>
        <w:t xml:space="preserve">and hospitals </w:t>
      </w:r>
      <w:r w:rsidR="00927274">
        <w:rPr>
          <w:rFonts w:ascii="Segoe UI" w:hAnsi="Segoe UI" w:cs="Segoe UI"/>
        </w:rPr>
        <w:t>a</w:t>
      </w:r>
      <w:r w:rsidR="00B06703" w:rsidRPr="00B2101E">
        <w:rPr>
          <w:rFonts w:ascii="Segoe UI" w:hAnsi="Segoe UI" w:cs="Segoe UI"/>
        </w:rPr>
        <w:t xml:space="preserve">re concentrated in </w:t>
      </w:r>
      <w:r w:rsidR="00887574" w:rsidRPr="00B2101E">
        <w:rPr>
          <w:rFonts w:ascii="Segoe UI" w:hAnsi="Segoe UI" w:cs="Segoe UI"/>
        </w:rPr>
        <w:t>biotechnology (</w:t>
      </w:r>
      <w:r w:rsidR="0043609A" w:rsidRPr="00B2101E">
        <w:rPr>
          <w:rFonts w:ascii="Segoe UI" w:hAnsi="Segoe UI" w:cs="Segoe UI"/>
        </w:rPr>
        <w:t>27% of DHHS-supported patent granted 2008-2017</w:t>
      </w:r>
      <w:r w:rsidR="00887574" w:rsidRPr="00B2101E">
        <w:rPr>
          <w:rFonts w:ascii="Segoe UI" w:hAnsi="Segoe UI" w:cs="Segoe UI"/>
        </w:rPr>
        <w:t xml:space="preserve">), </w:t>
      </w:r>
      <w:r w:rsidR="0043609A" w:rsidRPr="00EA6DFE">
        <w:rPr>
          <w:rFonts w:ascii="Segoe UI" w:hAnsi="Segoe UI" w:cs="Segoe UI"/>
        </w:rPr>
        <w:t>pharmaceuticals (20</w:t>
      </w:r>
      <w:r w:rsidR="00B06703" w:rsidRPr="00B2101E">
        <w:rPr>
          <w:rFonts w:ascii="Segoe UI" w:hAnsi="Segoe UI" w:cs="Segoe UI"/>
        </w:rPr>
        <w:t>%)</w:t>
      </w:r>
      <w:r w:rsidR="0043609A" w:rsidRPr="00EA6DFE">
        <w:rPr>
          <w:rFonts w:ascii="Segoe UI" w:hAnsi="Segoe UI" w:cs="Segoe UI"/>
        </w:rPr>
        <w:t>, and organic fine chemistry (9</w:t>
      </w:r>
      <w:r w:rsidR="00B06703" w:rsidRPr="00B2101E">
        <w:rPr>
          <w:rFonts w:ascii="Segoe UI" w:hAnsi="Segoe UI" w:cs="Segoe UI"/>
        </w:rPr>
        <w:t xml:space="preserve">%). </w:t>
      </w:r>
      <w:r w:rsidR="00927274" w:rsidRPr="00764653">
        <w:rPr>
          <w:rFonts w:ascii="Segoe UI" w:hAnsi="Segoe UI" w:cs="Segoe UI"/>
        </w:rPr>
        <w:t xml:space="preserve">DHHS-supported patents assigned to corporate entities </w:t>
      </w:r>
      <w:r w:rsidR="00927274">
        <w:rPr>
          <w:rFonts w:ascii="Segoe UI" w:hAnsi="Segoe UI" w:cs="Segoe UI"/>
        </w:rPr>
        <w:t xml:space="preserve">are </w:t>
      </w:r>
      <w:r w:rsidR="00927274" w:rsidRPr="00764653">
        <w:rPr>
          <w:rFonts w:ascii="Segoe UI" w:hAnsi="Segoe UI" w:cs="Segoe UI"/>
        </w:rPr>
        <w:t>also largely concentrated in biotechnology and pharmaceuticals as well as medical technology.</w:t>
      </w:r>
      <w:r w:rsidR="00927274">
        <w:rPr>
          <w:rFonts w:ascii="Segoe UI" w:hAnsi="Segoe UI" w:cs="Segoe UI"/>
          <w:highlight w:val="yellow"/>
        </w:rPr>
        <w:t xml:space="preserve"> NSF-</w:t>
      </w:r>
      <w:r w:rsidR="00A23BA5" w:rsidRPr="00EA6DFE">
        <w:rPr>
          <w:rFonts w:ascii="Segoe UI" w:hAnsi="Segoe UI" w:cs="Segoe UI"/>
          <w:highlight w:val="yellow"/>
        </w:rPr>
        <w:t xml:space="preserve">supported patents held by </w:t>
      </w:r>
      <w:r w:rsidR="00927274">
        <w:rPr>
          <w:rFonts w:ascii="Segoe UI" w:hAnsi="Segoe UI" w:cs="Segoe UI"/>
          <w:highlight w:val="yellow"/>
        </w:rPr>
        <w:t xml:space="preserve">universities and hospitals </w:t>
      </w:r>
      <w:r w:rsidR="00927274">
        <w:rPr>
          <w:rFonts w:ascii="Segoe UI" w:hAnsi="Segoe UI" w:cs="Segoe UI"/>
        </w:rPr>
        <w:t>are more evenly spread across a wide range of technologies, including computer technology</w:t>
      </w:r>
      <w:r w:rsidR="00927274" w:rsidRPr="00104FDA">
        <w:rPr>
          <w:rFonts w:ascii="Segoe UI" w:hAnsi="Segoe UI" w:cs="Segoe UI"/>
        </w:rPr>
        <w:t xml:space="preserve"> (</w:t>
      </w:r>
      <w:r w:rsidR="00927274">
        <w:rPr>
          <w:rFonts w:ascii="Segoe UI" w:hAnsi="Segoe UI" w:cs="Segoe UI"/>
        </w:rPr>
        <w:t>10% of N</w:t>
      </w:r>
      <w:r w:rsidR="00927274" w:rsidRPr="00104FDA">
        <w:rPr>
          <w:rFonts w:ascii="Segoe UI" w:hAnsi="Segoe UI" w:cs="Segoe UI"/>
        </w:rPr>
        <w:t>S</w:t>
      </w:r>
      <w:r w:rsidR="00927274">
        <w:rPr>
          <w:rFonts w:ascii="Segoe UI" w:hAnsi="Segoe UI" w:cs="Segoe UI"/>
        </w:rPr>
        <w:t>F</w:t>
      </w:r>
      <w:r w:rsidR="00927274" w:rsidRPr="00104FDA">
        <w:rPr>
          <w:rFonts w:ascii="Segoe UI" w:hAnsi="Segoe UI" w:cs="Segoe UI"/>
        </w:rPr>
        <w:t>-supported patent granted 2008-2017),</w:t>
      </w:r>
      <w:r w:rsidR="00927274">
        <w:rPr>
          <w:rFonts w:ascii="Segoe UI" w:hAnsi="Segoe UI" w:cs="Segoe UI"/>
        </w:rPr>
        <w:t xml:space="preserve"> measurement (10%), biotechnology (7%), and semiconductors (6%). </w:t>
      </w:r>
    </w:p>
    <w:p w14:paraId="4A0AEE26" w14:textId="77777777" w:rsidR="00626A9E" w:rsidRDefault="00A23BA5" w:rsidP="005A6D80">
      <w:pPr>
        <w:rPr>
          <w:rFonts w:ascii="Segoe UI" w:hAnsi="Segoe UI" w:cs="Segoe UI"/>
        </w:rPr>
      </w:pPr>
      <w:r>
        <w:rPr>
          <w:rFonts w:ascii="Segoe UI" w:hAnsi="Segoe UI" w:cs="Segoe UI"/>
        </w:rPr>
        <w:t>M</w:t>
      </w:r>
      <w:r w:rsidR="007F3F0F">
        <w:rPr>
          <w:rFonts w:ascii="Segoe UI" w:hAnsi="Segoe UI" w:cs="Segoe UI"/>
        </w:rPr>
        <w:t>ost</w:t>
      </w:r>
      <w:r w:rsidR="00C5172F" w:rsidRPr="00DD7547">
        <w:rPr>
          <w:rFonts w:ascii="Segoe UI" w:hAnsi="Segoe UI" w:cs="Segoe UI"/>
        </w:rPr>
        <w:t xml:space="preserve"> </w:t>
      </w:r>
      <w:r w:rsidR="003B16D5">
        <w:rPr>
          <w:rFonts w:ascii="Segoe UI" w:hAnsi="Segoe UI" w:cs="Segoe UI"/>
        </w:rPr>
        <w:t xml:space="preserve">patents supported by </w:t>
      </w:r>
      <w:r w:rsidR="00C5172F" w:rsidRPr="00DD7547">
        <w:rPr>
          <w:rFonts w:ascii="Segoe UI" w:hAnsi="Segoe UI" w:cs="Segoe UI"/>
        </w:rPr>
        <w:t>R&amp;D funding</w:t>
      </w:r>
      <w:r w:rsidR="003B16D5">
        <w:rPr>
          <w:rFonts w:ascii="Segoe UI" w:hAnsi="Segoe UI" w:cs="Segoe UI"/>
        </w:rPr>
        <w:t xml:space="preserve"> from </w:t>
      </w:r>
      <w:r w:rsidR="003B16D5" w:rsidRPr="00DD7547">
        <w:rPr>
          <w:rFonts w:ascii="Segoe UI" w:hAnsi="Segoe UI" w:cs="Segoe UI"/>
        </w:rPr>
        <w:t>D</w:t>
      </w:r>
      <w:r w:rsidR="003B16D5">
        <w:rPr>
          <w:rFonts w:ascii="Segoe UI" w:hAnsi="Segoe UI" w:cs="Segoe UI"/>
        </w:rPr>
        <w:t>O</w:t>
      </w:r>
      <w:r w:rsidR="003B16D5" w:rsidRPr="00DD7547">
        <w:rPr>
          <w:rFonts w:ascii="Segoe UI" w:hAnsi="Segoe UI" w:cs="Segoe UI"/>
        </w:rPr>
        <w:t>D</w:t>
      </w:r>
      <w:r w:rsidR="00887574">
        <w:rPr>
          <w:rFonts w:ascii="Segoe UI" w:hAnsi="Segoe UI" w:cs="Segoe UI"/>
        </w:rPr>
        <w:t xml:space="preserve"> and</w:t>
      </w:r>
      <w:r w:rsidR="003B16D5" w:rsidRPr="00DD7547">
        <w:rPr>
          <w:rFonts w:ascii="Segoe UI" w:hAnsi="Segoe UI" w:cs="Segoe UI"/>
        </w:rPr>
        <w:t xml:space="preserve"> D</w:t>
      </w:r>
      <w:r w:rsidR="003B16D5">
        <w:rPr>
          <w:rFonts w:ascii="Segoe UI" w:hAnsi="Segoe UI" w:cs="Segoe UI"/>
        </w:rPr>
        <w:t>O</w:t>
      </w:r>
      <w:r w:rsidR="003B16D5" w:rsidRPr="00DD7547">
        <w:rPr>
          <w:rFonts w:ascii="Segoe UI" w:hAnsi="Segoe UI" w:cs="Segoe UI"/>
        </w:rPr>
        <w:t>E</w:t>
      </w:r>
      <w:r w:rsidR="00887574">
        <w:rPr>
          <w:rFonts w:ascii="Segoe UI" w:hAnsi="Segoe UI" w:cs="Segoe UI"/>
        </w:rPr>
        <w:t xml:space="preserve"> </w:t>
      </w:r>
      <w:r w:rsidR="00A01A65">
        <w:rPr>
          <w:rFonts w:ascii="Segoe UI" w:hAnsi="Segoe UI" w:cs="Segoe UI"/>
        </w:rPr>
        <w:t>are</w:t>
      </w:r>
      <w:r w:rsidR="003B16D5">
        <w:rPr>
          <w:rFonts w:ascii="Segoe UI" w:hAnsi="Segoe UI" w:cs="Segoe UI"/>
        </w:rPr>
        <w:t xml:space="preserve"> assigned</w:t>
      </w:r>
      <w:r w:rsidR="00C5172F" w:rsidRPr="00DD7547">
        <w:rPr>
          <w:rFonts w:ascii="Segoe UI" w:hAnsi="Segoe UI" w:cs="Segoe UI"/>
        </w:rPr>
        <w:t xml:space="preserve"> </w:t>
      </w:r>
      <w:r w:rsidR="00F231AC">
        <w:rPr>
          <w:rFonts w:ascii="Segoe UI" w:hAnsi="Segoe UI" w:cs="Segoe UI"/>
        </w:rPr>
        <w:t xml:space="preserve">to </w:t>
      </w:r>
      <w:r w:rsidR="00AA5724">
        <w:rPr>
          <w:rFonts w:ascii="Segoe UI" w:hAnsi="Segoe UI" w:cs="Segoe UI"/>
        </w:rPr>
        <w:t xml:space="preserve">the corporate sector, including both </w:t>
      </w:r>
      <w:r w:rsidR="00C5172F" w:rsidRPr="00DD7547">
        <w:rPr>
          <w:rFonts w:ascii="Segoe UI" w:hAnsi="Segoe UI" w:cs="Segoe UI"/>
        </w:rPr>
        <w:t xml:space="preserve">private sector firms and </w:t>
      </w:r>
      <w:r w:rsidR="003E6F94">
        <w:rPr>
          <w:rFonts w:ascii="Segoe UI" w:hAnsi="Segoe UI" w:cs="Segoe UI"/>
        </w:rPr>
        <w:t xml:space="preserve">privately-operated </w:t>
      </w:r>
      <w:r w:rsidR="00C5172F" w:rsidRPr="00DD7547">
        <w:rPr>
          <w:rFonts w:ascii="Segoe UI" w:hAnsi="Segoe UI" w:cs="Segoe UI"/>
        </w:rPr>
        <w:t>national laboratory operators</w:t>
      </w:r>
      <w:r w:rsidR="00927274">
        <w:rPr>
          <w:rStyle w:val="FootnoteReference"/>
          <w:rFonts w:ascii="Segoe UI" w:hAnsi="Segoe UI" w:cs="Segoe UI"/>
        </w:rPr>
        <w:footnoteReference w:id="13"/>
      </w:r>
      <w:r w:rsidR="00887574">
        <w:rPr>
          <w:rFonts w:ascii="Segoe UI" w:hAnsi="Segoe UI" w:cs="Segoe UI"/>
        </w:rPr>
        <w:t xml:space="preserve"> (60% of DOD- and 60% of DOE-supported patents granted 1980-2017)</w:t>
      </w:r>
      <w:r w:rsidR="00C5172F" w:rsidRPr="00DD7547">
        <w:rPr>
          <w:rFonts w:ascii="Segoe UI" w:hAnsi="Segoe UI" w:cs="Segoe UI"/>
        </w:rPr>
        <w:t xml:space="preserve">.  Prior </w:t>
      </w:r>
      <w:r w:rsidR="007F3F0F">
        <w:rPr>
          <w:rFonts w:ascii="Segoe UI" w:hAnsi="Segoe UI" w:cs="Segoe UI"/>
        </w:rPr>
        <w:t>literature</w:t>
      </w:r>
      <w:r w:rsidR="007F3F0F" w:rsidRPr="00DD7547">
        <w:rPr>
          <w:rFonts w:ascii="Segoe UI" w:hAnsi="Segoe UI" w:cs="Segoe UI"/>
        </w:rPr>
        <w:t xml:space="preserve"> </w:t>
      </w:r>
      <w:r w:rsidR="00C5172F" w:rsidRPr="00DD7547">
        <w:rPr>
          <w:rFonts w:ascii="Segoe UI" w:hAnsi="Segoe UI" w:cs="Segoe UI"/>
        </w:rPr>
        <w:t xml:space="preserve">has shown that certain areas of the </w:t>
      </w:r>
      <w:r w:rsidR="00A01A65">
        <w:rPr>
          <w:rFonts w:ascii="Segoe UI" w:hAnsi="Segoe UI" w:cs="Segoe UI"/>
        </w:rPr>
        <w:t>f</w:t>
      </w:r>
      <w:r w:rsidR="00C5172F" w:rsidRPr="00DD7547">
        <w:rPr>
          <w:rFonts w:ascii="Segoe UI" w:hAnsi="Segoe UI" w:cs="Segoe UI"/>
        </w:rPr>
        <w:t xml:space="preserve">ederal funding R&amp;D landscape are more amenable to applied research, </w:t>
      </w:r>
      <w:r w:rsidR="00A01A65">
        <w:rPr>
          <w:rFonts w:ascii="Segoe UI" w:hAnsi="Segoe UI" w:cs="Segoe UI"/>
        </w:rPr>
        <w:t>where corporate firms are</w:t>
      </w:r>
      <w:r w:rsidR="00C5172F" w:rsidRPr="00DD7547">
        <w:rPr>
          <w:rFonts w:ascii="Segoe UI" w:hAnsi="Segoe UI" w:cs="Segoe UI"/>
        </w:rPr>
        <w:t xml:space="preserve"> </w:t>
      </w:r>
      <w:r w:rsidR="00A01A65">
        <w:rPr>
          <w:rFonts w:ascii="Segoe UI" w:hAnsi="Segoe UI" w:cs="Segoe UI"/>
        </w:rPr>
        <w:t xml:space="preserve">more </w:t>
      </w:r>
      <w:r w:rsidR="00C5172F" w:rsidRPr="00DD7547">
        <w:rPr>
          <w:rFonts w:ascii="Segoe UI" w:hAnsi="Segoe UI" w:cs="Segoe UI"/>
        </w:rPr>
        <w:t xml:space="preserve">active </w:t>
      </w:r>
      <w:r w:rsidR="00A01A65">
        <w:rPr>
          <w:rFonts w:ascii="Segoe UI" w:hAnsi="Segoe UI" w:cs="Segoe UI"/>
        </w:rPr>
        <w:t xml:space="preserve">because of </w:t>
      </w:r>
      <w:r w:rsidR="00C5172F" w:rsidRPr="00DD7547">
        <w:rPr>
          <w:rFonts w:ascii="Segoe UI" w:hAnsi="Segoe UI" w:cs="Segoe UI"/>
        </w:rPr>
        <w:t xml:space="preserve">commercial </w:t>
      </w:r>
      <w:r w:rsidR="00A01A65">
        <w:rPr>
          <w:rFonts w:ascii="Segoe UI" w:hAnsi="Segoe UI" w:cs="Segoe UI"/>
        </w:rPr>
        <w:t>applications</w:t>
      </w:r>
      <w:r w:rsidR="00C5172F" w:rsidRPr="00DD7547">
        <w:rPr>
          <w:rFonts w:ascii="Segoe UI" w:hAnsi="Segoe UI" w:cs="Segoe UI"/>
        </w:rPr>
        <w:t>.</w:t>
      </w:r>
      <w:r w:rsidR="00C5172F" w:rsidRPr="00DD7547">
        <w:rPr>
          <w:rFonts w:ascii="Segoe UI" w:hAnsi="Segoe UI" w:cs="Segoe UI"/>
          <w:vertAlign w:val="superscript"/>
        </w:rPr>
        <w:footnoteReference w:id="14"/>
      </w:r>
      <w:r w:rsidR="00C5172F" w:rsidRPr="00DD7547">
        <w:rPr>
          <w:rFonts w:ascii="Segoe UI" w:hAnsi="Segoe UI" w:cs="Segoe UI"/>
        </w:rPr>
        <w:t xml:space="preserve"> </w:t>
      </w:r>
      <w:r w:rsidR="00626A9E">
        <w:rPr>
          <w:rFonts w:ascii="Segoe UI" w:hAnsi="Segoe UI" w:cs="Segoe UI"/>
        </w:rPr>
        <w:t xml:space="preserve">In the last decade, corporately held patents funded by DOD span a wide variety of technologies, including computer technology (11% </w:t>
      </w:r>
      <w:r w:rsidR="005A6D80">
        <w:rPr>
          <w:rFonts w:ascii="Segoe UI" w:hAnsi="Segoe UI" w:cs="Segoe UI"/>
        </w:rPr>
        <w:t xml:space="preserve">of </w:t>
      </w:r>
      <w:r w:rsidR="00626A9E">
        <w:rPr>
          <w:rFonts w:ascii="Segoe UI" w:hAnsi="Segoe UI" w:cs="Segoe UI"/>
        </w:rPr>
        <w:t>DOD</w:t>
      </w:r>
      <w:r w:rsidR="00626A9E" w:rsidRPr="00104FDA">
        <w:rPr>
          <w:rFonts w:ascii="Segoe UI" w:hAnsi="Segoe UI" w:cs="Segoe UI"/>
        </w:rPr>
        <w:t>-supported patent granted 2008-2017</w:t>
      </w:r>
      <w:r w:rsidR="00626A9E">
        <w:rPr>
          <w:rFonts w:ascii="Segoe UI" w:hAnsi="Segoe UI" w:cs="Segoe UI"/>
        </w:rPr>
        <w:t xml:space="preserve">), measurement (6%), semiconductors (5%), and engines, pumps, and turbines (4%). Likewise, DOE-supported patents held by firms </w:t>
      </w:r>
      <w:r w:rsidR="005A6D80">
        <w:rPr>
          <w:rFonts w:ascii="Segoe UI" w:hAnsi="Segoe UI" w:cs="Segoe UI"/>
        </w:rPr>
        <w:t>are dispersed across technology categories, including electrical machinery, apparatus, and energy (10% of DOE</w:t>
      </w:r>
      <w:r w:rsidR="005A6D80" w:rsidRPr="00104FDA">
        <w:rPr>
          <w:rFonts w:ascii="Segoe UI" w:hAnsi="Segoe UI" w:cs="Segoe UI"/>
        </w:rPr>
        <w:t>-supported patent granted 2008-2017</w:t>
      </w:r>
      <w:r w:rsidR="005A6D80">
        <w:rPr>
          <w:rFonts w:ascii="Segoe UI" w:hAnsi="Segoe UI" w:cs="Segoe UI"/>
        </w:rPr>
        <w:t>), measurement (7%), computer technology (7%), and engines, pumps, and turbines (6%).</w:t>
      </w:r>
    </w:p>
    <w:p w14:paraId="205EFFFF" w14:textId="77777777" w:rsidR="00512AB6" w:rsidRDefault="005A6D80" w:rsidP="00512AB6">
      <w:pPr>
        <w:rPr>
          <w:rFonts w:ascii="Segoe UI" w:hAnsi="Segoe UI" w:cs="Segoe UI"/>
        </w:rPr>
      </w:pPr>
      <w:r>
        <w:rPr>
          <w:rFonts w:ascii="Segoe UI" w:hAnsi="Segoe UI" w:cs="Segoe UI"/>
        </w:rPr>
        <w:t xml:space="preserve">Similar to DHHS, DOD, DOE, and NASA </w:t>
      </w:r>
      <w:r w:rsidR="00626A9E">
        <w:rPr>
          <w:rFonts w:ascii="Segoe UI" w:hAnsi="Segoe UI" w:cs="Segoe UI"/>
        </w:rPr>
        <w:t xml:space="preserve">research funding span sectors. In fact, in total, DOD has supported more patents assigned to academic institutions </w:t>
      </w:r>
      <w:r>
        <w:rPr>
          <w:rFonts w:ascii="Segoe UI" w:hAnsi="Segoe UI" w:cs="Segoe UI"/>
        </w:rPr>
        <w:t xml:space="preserve">and hospitals </w:t>
      </w:r>
      <w:r w:rsidR="00626A9E">
        <w:rPr>
          <w:rFonts w:ascii="Segoe UI" w:hAnsi="Segoe UI" w:cs="Segoe UI"/>
        </w:rPr>
        <w:t xml:space="preserve">than NSF. </w:t>
      </w:r>
      <w:r w:rsidR="00512AB6">
        <w:rPr>
          <w:rFonts w:ascii="Segoe UI" w:hAnsi="Segoe UI" w:cs="Segoe UI"/>
        </w:rPr>
        <w:t xml:space="preserve">Within sectors, government interest patent ownership is relatively dispersed across organizations. For the top five funding agencies, entities with the most government-supported patents include eight different universities and 11 distinct private firms and research institutes or laboratories (see Appendix C). </w:t>
      </w:r>
    </w:p>
    <w:p w14:paraId="778FAB75" w14:textId="77777777" w:rsidR="003C2B04" w:rsidRPr="003C2B04" w:rsidRDefault="00512AB6" w:rsidP="00C5172F">
      <w:pPr>
        <w:rPr>
          <w:rFonts w:ascii="Segoe UI" w:hAnsi="Segoe UI" w:cs="Segoe UI"/>
        </w:rPr>
      </w:pPr>
      <w:r>
        <w:rPr>
          <w:rFonts w:ascii="Segoe UI" w:hAnsi="Segoe UI" w:cs="Segoe UI"/>
        </w:rPr>
        <w:t xml:space="preserve">As Figure 4 shows, </w:t>
      </w:r>
      <w:r w:rsidR="003C2B04">
        <w:rPr>
          <w:rFonts w:ascii="Segoe UI" w:hAnsi="Segoe UI" w:cs="Segoe UI"/>
        </w:rPr>
        <w:t xml:space="preserve">DOE supports the largest number of patents assigned within the Federal Government, though NASA and DOD fund government-held patenting as well. </w:t>
      </w:r>
      <w:r w:rsidR="003C2B04" w:rsidRPr="003C2B04">
        <w:rPr>
          <w:rFonts w:ascii="Segoe UI" w:hAnsi="Segoe UI" w:cs="Segoe UI"/>
        </w:rPr>
        <w:t>Overall,</w:t>
      </w:r>
      <w:r w:rsidR="003C2B04">
        <w:rPr>
          <w:rFonts w:ascii="Segoe UI" w:hAnsi="Segoe UI" w:cs="Segoe UI"/>
        </w:rPr>
        <w:t xml:space="preserve"> h</w:t>
      </w:r>
      <w:r w:rsidR="00CE1082">
        <w:rPr>
          <w:rFonts w:ascii="Segoe UI" w:hAnsi="Segoe UI" w:cs="Segoe UI"/>
        </w:rPr>
        <w:t>owever, the share of government-</w:t>
      </w:r>
      <w:r w:rsidR="003C2B04">
        <w:rPr>
          <w:rFonts w:ascii="Segoe UI" w:hAnsi="Segoe UI" w:cs="Segoe UI"/>
        </w:rPr>
        <w:t xml:space="preserve">supported patents held by the government itself </w:t>
      </w:r>
      <w:r w:rsidR="00CE1082">
        <w:rPr>
          <w:rFonts w:ascii="Segoe UI" w:hAnsi="Segoe UI" w:cs="Segoe UI"/>
        </w:rPr>
        <w:t>is small. Figure 5 depicts trends in the composition of government interest patents by assignee sector for the entire post Bayh-Dole period.</w:t>
      </w:r>
      <w:r w:rsidR="003C2B04" w:rsidRPr="003C2B04">
        <w:rPr>
          <w:rFonts w:ascii="Segoe UI" w:hAnsi="Segoe UI" w:cs="Segoe UI"/>
        </w:rPr>
        <w:t xml:space="preserve"> </w:t>
      </w:r>
      <w:r w:rsidR="003C2B04" w:rsidRPr="00EA6DFE">
        <w:rPr>
          <w:rFonts w:ascii="Segoe UI" w:hAnsi="Segoe UI" w:cs="Segoe UI"/>
        </w:rPr>
        <w:t xml:space="preserve">Since Bayh-Dole, the share of </w:t>
      </w:r>
      <w:r w:rsidR="00CE1082" w:rsidRPr="006934A0">
        <w:rPr>
          <w:rFonts w:ascii="Segoe UI" w:hAnsi="Segoe UI" w:cs="Segoe UI"/>
        </w:rPr>
        <w:t xml:space="preserve">government interests </w:t>
      </w:r>
      <w:r w:rsidR="003C2B04" w:rsidRPr="00EA6DFE">
        <w:rPr>
          <w:rFonts w:ascii="Segoe UI" w:hAnsi="Segoe UI" w:cs="Segoe UI"/>
        </w:rPr>
        <w:t xml:space="preserve">patents assigned to </w:t>
      </w:r>
      <w:r w:rsidR="00CE1082">
        <w:rPr>
          <w:rFonts w:ascii="Segoe UI" w:hAnsi="Segoe UI" w:cs="Segoe UI"/>
        </w:rPr>
        <w:t>a</w:t>
      </w:r>
      <w:r w:rsidR="003C2B04" w:rsidRPr="00EA6DFE">
        <w:rPr>
          <w:rFonts w:ascii="Segoe UI" w:hAnsi="Segoe UI" w:cs="Segoe UI"/>
        </w:rPr>
        <w:t xml:space="preserve"> government </w:t>
      </w:r>
      <w:r w:rsidR="00CE1082">
        <w:rPr>
          <w:rFonts w:ascii="Segoe UI" w:hAnsi="Segoe UI" w:cs="Segoe UI"/>
        </w:rPr>
        <w:t xml:space="preserve">entity </w:t>
      </w:r>
      <w:r w:rsidR="003C2B04" w:rsidRPr="00EA6DFE">
        <w:rPr>
          <w:rFonts w:ascii="Segoe UI" w:hAnsi="Segoe UI" w:cs="Segoe UI"/>
        </w:rPr>
        <w:t xml:space="preserve">has declined considerably </w:t>
      </w:r>
      <w:r w:rsidR="00CE1082">
        <w:rPr>
          <w:rFonts w:ascii="Segoe UI" w:hAnsi="Segoe UI" w:cs="Segoe UI"/>
        </w:rPr>
        <w:t>from roughly 60% in the mid-1980s to around 10% in the past decade</w:t>
      </w:r>
      <w:r w:rsidR="003C2B04" w:rsidRPr="00EA6DFE">
        <w:rPr>
          <w:rFonts w:ascii="Segoe UI" w:hAnsi="Segoe UI" w:cs="Segoe UI"/>
        </w:rPr>
        <w:t xml:space="preserve">.  </w:t>
      </w:r>
      <w:r w:rsidR="00CE1082">
        <w:rPr>
          <w:rFonts w:ascii="Segoe UI" w:hAnsi="Segoe UI" w:cs="Segoe UI"/>
        </w:rPr>
        <w:t>In contrast</w:t>
      </w:r>
      <w:r w:rsidR="003C2B04" w:rsidRPr="00EA6DFE">
        <w:rPr>
          <w:rFonts w:ascii="Segoe UI" w:hAnsi="Segoe UI" w:cs="Segoe UI"/>
        </w:rPr>
        <w:t xml:space="preserve">, the share of government interest patents assigned to </w:t>
      </w:r>
      <w:r w:rsidR="00CE1082">
        <w:rPr>
          <w:rFonts w:ascii="Segoe UI" w:hAnsi="Segoe UI" w:cs="Segoe UI"/>
        </w:rPr>
        <w:t>academic</w:t>
      </w:r>
      <w:r w:rsidR="00855FAA">
        <w:rPr>
          <w:rFonts w:ascii="Segoe UI" w:hAnsi="Segoe UI" w:cs="Segoe UI"/>
        </w:rPr>
        <w:t xml:space="preserve"> or hospital</w:t>
      </w:r>
      <w:r w:rsidR="003C2B04" w:rsidRPr="00EA6DFE">
        <w:rPr>
          <w:rFonts w:ascii="Segoe UI" w:hAnsi="Segoe UI" w:cs="Segoe UI"/>
        </w:rPr>
        <w:t xml:space="preserve"> and </w:t>
      </w:r>
      <w:r w:rsidR="00CE1082">
        <w:rPr>
          <w:rFonts w:ascii="Segoe UI" w:hAnsi="Segoe UI" w:cs="Segoe UI"/>
        </w:rPr>
        <w:t xml:space="preserve">corporate </w:t>
      </w:r>
      <w:r w:rsidR="003C2B04" w:rsidRPr="00EA6DFE">
        <w:rPr>
          <w:rFonts w:ascii="Segoe UI" w:hAnsi="Segoe UI" w:cs="Segoe UI"/>
        </w:rPr>
        <w:t>sector</w:t>
      </w:r>
      <w:r w:rsidR="00CE1082">
        <w:rPr>
          <w:rFonts w:ascii="Segoe UI" w:hAnsi="Segoe UI" w:cs="Segoe UI"/>
        </w:rPr>
        <w:t>s</w:t>
      </w:r>
      <w:r w:rsidR="003C2B04" w:rsidRPr="00EA6DFE">
        <w:rPr>
          <w:rFonts w:ascii="Segoe UI" w:hAnsi="Segoe UI" w:cs="Segoe UI"/>
        </w:rPr>
        <w:t xml:space="preserve"> has increased markedly. </w:t>
      </w:r>
      <w:r w:rsidR="00CE1082">
        <w:rPr>
          <w:rFonts w:ascii="Segoe UI" w:hAnsi="Segoe UI" w:cs="Segoe UI"/>
        </w:rPr>
        <w:t xml:space="preserve">Interestingly, </w:t>
      </w:r>
      <w:r w:rsidR="00445EBF">
        <w:rPr>
          <w:rFonts w:ascii="Segoe UI" w:hAnsi="Segoe UI" w:cs="Segoe UI"/>
        </w:rPr>
        <w:t>in the first decade after Bayh-Dole</w:t>
      </w:r>
      <w:r w:rsidR="00CE1082">
        <w:rPr>
          <w:rFonts w:ascii="Segoe UI" w:hAnsi="Segoe UI" w:cs="Segoe UI"/>
        </w:rPr>
        <w:t xml:space="preserve">, </w:t>
      </w:r>
      <w:r w:rsidR="00750A6B">
        <w:rPr>
          <w:rFonts w:ascii="Segoe UI" w:hAnsi="Segoe UI" w:cs="Segoe UI"/>
        </w:rPr>
        <w:t xml:space="preserve">corporate entities </w:t>
      </w:r>
      <w:r w:rsidR="00855FAA">
        <w:rPr>
          <w:rFonts w:ascii="Segoe UI" w:hAnsi="Segoe UI" w:cs="Segoe UI"/>
        </w:rPr>
        <w:t>were granted</w:t>
      </w:r>
      <w:r w:rsidR="00750A6B">
        <w:rPr>
          <w:rFonts w:ascii="Segoe UI" w:hAnsi="Segoe UI" w:cs="Segoe UI"/>
        </w:rPr>
        <w:t xml:space="preserve"> </w:t>
      </w:r>
      <w:r w:rsidR="00CE1082">
        <w:rPr>
          <w:rFonts w:ascii="Segoe UI" w:hAnsi="Segoe UI" w:cs="Segoe UI"/>
        </w:rPr>
        <w:t>more government-supported patents</w:t>
      </w:r>
      <w:r w:rsidR="003C2B04" w:rsidRPr="00EA6DFE">
        <w:rPr>
          <w:rFonts w:ascii="Segoe UI" w:hAnsi="Segoe UI" w:cs="Segoe UI"/>
        </w:rPr>
        <w:t xml:space="preserve"> </w:t>
      </w:r>
      <w:r w:rsidR="00CE1082">
        <w:rPr>
          <w:rFonts w:ascii="Segoe UI" w:hAnsi="Segoe UI" w:cs="Segoe UI"/>
        </w:rPr>
        <w:t>than universities and hospitals.</w:t>
      </w:r>
      <w:r w:rsidR="00CE665A">
        <w:rPr>
          <w:rFonts w:ascii="Segoe UI" w:hAnsi="Segoe UI" w:cs="Segoe UI"/>
        </w:rPr>
        <w:t xml:space="preserve"> </w:t>
      </w:r>
      <w:r w:rsidR="00855FAA">
        <w:rPr>
          <w:rFonts w:ascii="Segoe UI" w:hAnsi="Segoe UI" w:cs="Segoe UI"/>
        </w:rPr>
        <w:t xml:space="preserve">Since </w:t>
      </w:r>
      <w:r w:rsidR="00855FAA" w:rsidRPr="00FB0C80">
        <w:rPr>
          <w:rFonts w:ascii="Segoe UI" w:hAnsi="Segoe UI" w:cs="Segoe UI"/>
        </w:rPr>
        <w:t>the 1</w:t>
      </w:r>
      <w:r w:rsidR="00CE665A" w:rsidRPr="00FB0C80">
        <w:rPr>
          <w:rFonts w:ascii="Segoe UI" w:hAnsi="Segoe UI" w:cs="Segoe UI"/>
        </w:rPr>
        <w:t>990s</w:t>
      </w:r>
      <w:r w:rsidR="00855FAA" w:rsidRPr="00EA6DFE">
        <w:rPr>
          <w:rFonts w:ascii="Segoe UI" w:hAnsi="Segoe UI" w:cs="Segoe UI"/>
        </w:rPr>
        <w:t xml:space="preserve">, however, </w:t>
      </w:r>
      <w:r w:rsidR="00CE665A" w:rsidRPr="00FB0C80">
        <w:rPr>
          <w:rFonts w:ascii="Segoe UI" w:hAnsi="Segoe UI" w:cs="Segoe UI"/>
        </w:rPr>
        <w:t xml:space="preserve">the share of government interest patents held by academic institutions </w:t>
      </w:r>
      <w:r w:rsidR="00855FAA" w:rsidRPr="00EA6DFE">
        <w:rPr>
          <w:rFonts w:ascii="Segoe UI" w:hAnsi="Segoe UI" w:cs="Segoe UI"/>
        </w:rPr>
        <w:t>and hospitals has persistently exceed</w:t>
      </w:r>
      <w:r w:rsidR="00FB0C80" w:rsidRPr="00EA6DFE">
        <w:rPr>
          <w:rFonts w:ascii="Segoe UI" w:hAnsi="Segoe UI" w:cs="Segoe UI"/>
        </w:rPr>
        <w:t>ed</w:t>
      </w:r>
      <w:r w:rsidR="00855FAA" w:rsidRPr="00EA6DFE">
        <w:rPr>
          <w:rFonts w:ascii="Segoe UI" w:hAnsi="Segoe UI" w:cs="Segoe UI"/>
        </w:rPr>
        <w:t xml:space="preserve"> the share granted to </w:t>
      </w:r>
      <w:r w:rsidR="00CE665A" w:rsidRPr="00FB0C80">
        <w:rPr>
          <w:rFonts w:ascii="Segoe UI" w:hAnsi="Segoe UI" w:cs="Segoe UI"/>
        </w:rPr>
        <w:t>corporate organizations</w:t>
      </w:r>
      <w:r w:rsidR="00750A6B" w:rsidRPr="00FB0C80">
        <w:rPr>
          <w:rFonts w:ascii="Segoe UI" w:hAnsi="Segoe UI" w:cs="Segoe UI"/>
        </w:rPr>
        <w:t>.</w:t>
      </w:r>
      <w:r w:rsidR="00E50C65">
        <w:rPr>
          <w:rFonts w:ascii="Segoe UI" w:hAnsi="Segoe UI" w:cs="Segoe UI"/>
        </w:rPr>
        <w:t xml:space="preserve"> </w:t>
      </w:r>
    </w:p>
    <w:p w14:paraId="5DB18ED4" w14:textId="77777777" w:rsidR="00FA1520" w:rsidRDefault="00FA1520" w:rsidP="00C5172F">
      <w:pPr>
        <w:rPr>
          <w:rFonts w:ascii="Segoe UI" w:hAnsi="Segoe UI" w:cs="Segoe UI"/>
        </w:rPr>
      </w:pPr>
    </w:p>
    <w:p w14:paraId="7FC1476F" w14:textId="77777777" w:rsidR="00C5172F" w:rsidRDefault="009A6BFF" w:rsidP="00C5172F">
      <w:pPr>
        <w:rPr>
          <w:rFonts w:ascii="Segoe UI" w:hAnsi="Segoe UI" w:cs="Segoe UI"/>
        </w:rPr>
      </w:pPr>
      <w:r>
        <w:rPr>
          <w:rFonts w:ascii="Segoe UI" w:hAnsi="Segoe UI" w:cs="Segoe UI"/>
          <w:noProof/>
        </w:rPr>
        <w:drawing>
          <wp:inline distT="0" distB="0" distL="0" distR="0" wp14:anchorId="68C1AC70" wp14:editId="690141D1">
            <wp:extent cx="5943600" cy="5171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oked_up_gi_patent_assignees_over_time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34DE6729" w14:textId="77777777" w:rsidR="00C5172F" w:rsidRDefault="00C5172F" w:rsidP="00C5172F">
      <w:r w:rsidRPr="00294587">
        <w:rPr>
          <w:b/>
        </w:rPr>
        <w:t xml:space="preserve">Figure </w:t>
      </w:r>
      <w:r w:rsidR="00A01A65">
        <w:rPr>
          <w:b/>
        </w:rPr>
        <w:t>5</w:t>
      </w:r>
      <w:r>
        <w:t>: Percentage of government interest patents assigned to different sectors, 1980 – 201</w:t>
      </w:r>
      <w:r w:rsidR="009A6BFF">
        <w:t>7</w:t>
      </w:r>
    </w:p>
    <w:p w14:paraId="532850DB" w14:textId="77777777" w:rsidR="005B2219" w:rsidRPr="00EA6DFE" w:rsidRDefault="00855FAA" w:rsidP="005B2219">
      <w:pPr>
        <w:rPr>
          <w:highlight w:val="yellow"/>
        </w:rPr>
      </w:pPr>
      <w:r w:rsidRPr="00EA6DFE">
        <w:rPr>
          <w:rFonts w:ascii="Segoe UI" w:hAnsi="Segoe UI" w:cs="Segoe UI"/>
          <w:highlight w:val="yellow"/>
        </w:rPr>
        <w:t xml:space="preserve">The private firms developing government-supported patents are not just large corporations. Small firms are also critical. </w:t>
      </w:r>
      <w:r w:rsidR="00B57F26" w:rsidRPr="00EA6DFE">
        <w:rPr>
          <w:rFonts w:ascii="Segoe UI" w:hAnsi="Segoe UI" w:cs="Segoe UI"/>
          <w:highlight w:val="yellow"/>
        </w:rPr>
        <w:t xml:space="preserve">Throughout most of the last decade, </w:t>
      </w:r>
      <w:r w:rsidR="005E20C7" w:rsidRPr="00EA6DFE">
        <w:rPr>
          <w:rFonts w:ascii="Segoe UI" w:hAnsi="Segoe UI" w:cs="Segoe UI"/>
          <w:highlight w:val="yellow"/>
        </w:rPr>
        <w:t xml:space="preserve">roughly one-third of </w:t>
      </w:r>
      <w:r w:rsidR="004C386E" w:rsidRPr="00EA6DFE">
        <w:rPr>
          <w:rFonts w:ascii="Segoe UI" w:hAnsi="Segoe UI" w:cs="Segoe UI"/>
          <w:highlight w:val="yellow"/>
        </w:rPr>
        <w:t xml:space="preserve">corporate-held </w:t>
      </w:r>
      <w:r w:rsidR="005E20C7" w:rsidRPr="00EA6DFE">
        <w:rPr>
          <w:rFonts w:ascii="Segoe UI" w:hAnsi="Segoe UI" w:cs="Segoe UI"/>
          <w:highlight w:val="yellow"/>
        </w:rPr>
        <w:t>government</w:t>
      </w:r>
      <w:r w:rsidR="004C386E" w:rsidRPr="00EA6DFE">
        <w:rPr>
          <w:rFonts w:ascii="Segoe UI" w:hAnsi="Segoe UI" w:cs="Segoe UI"/>
          <w:highlight w:val="yellow"/>
        </w:rPr>
        <w:t xml:space="preserve"> </w:t>
      </w:r>
      <w:r w:rsidR="005E20C7" w:rsidRPr="00EA6DFE">
        <w:rPr>
          <w:rFonts w:ascii="Segoe UI" w:hAnsi="Segoe UI" w:cs="Segoe UI"/>
          <w:highlight w:val="yellow"/>
        </w:rPr>
        <w:t>intere</w:t>
      </w:r>
      <w:r w:rsidR="006E7CAC" w:rsidRPr="00EA6DFE">
        <w:rPr>
          <w:rFonts w:ascii="Segoe UI" w:hAnsi="Segoe UI" w:cs="Segoe UI"/>
          <w:highlight w:val="yellow"/>
        </w:rPr>
        <w:t xml:space="preserve">st patents granted </w:t>
      </w:r>
      <w:r w:rsidR="005E20C7" w:rsidRPr="00EA6DFE">
        <w:rPr>
          <w:rFonts w:ascii="Segoe UI" w:hAnsi="Segoe UI" w:cs="Segoe UI"/>
          <w:highlight w:val="yellow"/>
        </w:rPr>
        <w:t xml:space="preserve">were issued to </w:t>
      </w:r>
      <w:r w:rsidR="00B57F26" w:rsidRPr="00EA6DFE">
        <w:rPr>
          <w:rFonts w:ascii="Segoe UI" w:hAnsi="Segoe UI" w:cs="Segoe UI"/>
          <w:highlight w:val="yellow"/>
        </w:rPr>
        <w:t>small firms.</w:t>
      </w:r>
      <w:r w:rsidR="00B57F26" w:rsidRPr="00EA6DFE">
        <w:rPr>
          <w:rStyle w:val="FootnoteReference"/>
          <w:rFonts w:ascii="Segoe UI" w:hAnsi="Segoe UI" w:cs="Segoe UI"/>
          <w:highlight w:val="yellow"/>
        </w:rPr>
        <w:footnoteReference w:id="15"/>
      </w:r>
      <w:r w:rsidR="00B57F26" w:rsidRPr="00EA6DFE">
        <w:rPr>
          <w:rFonts w:ascii="Segoe UI" w:hAnsi="Segoe UI" w:cs="Segoe UI"/>
          <w:highlight w:val="yellow"/>
        </w:rPr>
        <w:t xml:space="preserve">  </w:t>
      </w:r>
    </w:p>
    <w:p w14:paraId="4CB2CDE8" w14:textId="77777777" w:rsidR="00C5172F" w:rsidRPr="00D1542C" w:rsidRDefault="00627C13" w:rsidP="00C5172F">
      <w:pPr>
        <w:rPr>
          <w:rFonts w:ascii="Segoe UI" w:hAnsi="Segoe UI" w:cs="Segoe UI"/>
        </w:rPr>
      </w:pPr>
      <w:r w:rsidRPr="00EA6DFE">
        <w:rPr>
          <w:rFonts w:ascii="Segoe UI" w:hAnsi="Segoe UI" w:cs="Segoe UI"/>
          <w:highlight w:val="yellow"/>
        </w:rPr>
        <w:t>I</w:t>
      </w:r>
      <w:r w:rsidR="00C5172F" w:rsidRPr="00EA6DFE">
        <w:rPr>
          <w:rFonts w:ascii="Segoe UI" w:hAnsi="Segoe UI" w:cs="Segoe UI"/>
          <w:highlight w:val="yellow"/>
        </w:rPr>
        <w:t xml:space="preserve">ncreasing intensity of technology transfer from the government to small firms, which have long been considered the engine of employment growth and disruptive innovation in the US economy.  Indeed, the Federal government maintains two important programs to direct R&amp;D funding </w:t>
      </w:r>
      <w:r w:rsidR="004A5296" w:rsidRPr="00EA6DFE">
        <w:rPr>
          <w:rFonts w:ascii="Segoe UI" w:hAnsi="Segoe UI" w:cs="Segoe UI"/>
          <w:highlight w:val="yellow"/>
        </w:rPr>
        <w:t>to innovative small businesses, the</w:t>
      </w:r>
      <w:r w:rsidR="00C5172F" w:rsidRPr="00EA6DFE">
        <w:rPr>
          <w:rFonts w:ascii="Segoe UI" w:hAnsi="Segoe UI" w:cs="Segoe UI"/>
          <w:highlight w:val="yellow"/>
        </w:rPr>
        <w:t xml:space="preserve"> Small Business Innovation Research (SBIR) program and the Small Business Technology Transfer (</w:t>
      </w:r>
      <w:r w:rsidR="004A5296" w:rsidRPr="00EA6DFE">
        <w:rPr>
          <w:rFonts w:ascii="Segoe UI" w:hAnsi="Segoe UI" w:cs="Segoe UI"/>
          <w:highlight w:val="yellow"/>
        </w:rPr>
        <w:t>STTR</w:t>
      </w:r>
      <w:r w:rsidR="00C5172F" w:rsidRPr="00EA6DFE">
        <w:rPr>
          <w:rFonts w:ascii="Segoe UI" w:hAnsi="Segoe UI" w:cs="Segoe UI"/>
          <w:highlight w:val="yellow"/>
        </w:rPr>
        <w:t>) program.</w:t>
      </w:r>
      <w:r w:rsidR="00C5172F">
        <w:rPr>
          <w:rFonts w:ascii="Segoe UI" w:hAnsi="Segoe UI" w:cs="Segoe UI"/>
        </w:rPr>
        <w:t xml:space="preserve"> </w:t>
      </w:r>
    </w:p>
    <w:p w14:paraId="029209CA" w14:textId="77777777" w:rsidR="00C5172F" w:rsidRPr="00D1542C" w:rsidRDefault="00C5172F" w:rsidP="00C5172F">
      <w:pPr>
        <w:rPr>
          <w:rFonts w:ascii="Segoe UI" w:hAnsi="Segoe UI" w:cs="Segoe UI"/>
        </w:rPr>
      </w:pPr>
    </w:p>
    <w:p w14:paraId="378E28F4" w14:textId="77777777" w:rsidR="00C5172F" w:rsidRPr="00EC3F9E" w:rsidRDefault="004C2689" w:rsidP="00C5172F">
      <w:pPr>
        <w:rPr>
          <w:rFonts w:ascii="Segoe UI" w:hAnsi="Segoe UI" w:cs="Segoe UI"/>
          <w:b/>
          <w:color w:val="2E74B5" w:themeColor="accent1" w:themeShade="BF"/>
        </w:rPr>
      </w:pPr>
      <w:r>
        <w:rPr>
          <w:rFonts w:ascii="Cambria" w:hAnsi="Cambria" w:cs="Segoe UI"/>
          <w:b/>
          <w:sz w:val="28"/>
        </w:rPr>
        <w:t>Government</w:t>
      </w:r>
      <w:r w:rsidR="005B2219">
        <w:rPr>
          <w:rFonts w:ascii="Cambria" w:hAnsi="Cambria" w:cs="Segoe UI"/>
          <w:b/>
          <w:sz w:val="28"/>
        </w:rPr>
        <w:t xml:space="preserve">-supported patents involve expanding inventor teams </w:t>
      </w:r>
    </w:p>
    <w:p w14:paraId="63C5F6AD" w14:textId="77777777" w:rsidR="00421154" w:rsidRDefault="00627C13" w:rsidP="00421154">
      <w:pPr>
        <w:rPr>
          <w:rFonts w:ascii="Segoe UI" w:hAnsi="Segoe UI" w:cs="Segoe UI"/>
        </w:rPr>
      </w:pPr>
      <w:r>
        <w:rPr>
          <w:rFonts w:ascii="Segoe UI" w:hAnsi="Segoe UI" w:cs="Segoe UI"/>
        </w:rPr>
        <w:t>Development of the technology protected by g</w:t>
      </w:r>
      <w:r w:rsidR="00C5172F" w:rsidRPr="00D1542C">
        <w:rPr>
          <w:rFonts w:ascii="Segoe UI" w:hAnsi="Segoe UI" w:cs="Segoe UI"/>
        </w:rPr>
        <w:t>overnment interest patents</w:t>
      </w:r>
      <w:r>
        <w:rPr>
          <w:rFonts w:ascii="Segoe UI" w:hAnsi="Segoe UI" w:cs="Segoe UI"/>
        </w:rPr>
        <w:t xml:space="preserve"> often involves a team of multiple inventors. </w:t>
      </w:r>
      <w:r w:rsidR="00C5172F" w:rsidRPr="00D1542C">
        <w:rPr>
          <w:rFonts w:ascii="Segoe UI" w:hAnsi="Segoe UI" w:cs="Segoe UI"/>
        </w:rPr>
        <w:t xml:space="preserve"> Figure </w:t>
      </w:r>
      <w:r>
        <w:rPr>
          <w:rFonts w:ascii="Segoe UI" w:hAnsi="Segoe UI" w:cs="Segoe UI"/>
        </w:rPr>
        <w:t>7</w:t>
      </w:r>
      <w:r w:rsidR="00C5172F" w:rsidRPr="00D1542C">
        <w:rPr>
          <w:rFonts w:ascii="Segoe UI" w:hAnsi="Segoe UI" w:cs="Segoe UI"/>
        </w:rPr>
        <w:t xml:space="preserve"> </w:t>
      </w:r>
      <w:r>
        <w:rPr>
          <w:rFonts w:ascii="Segoe UI" w:hAnsi="Segoe UI" w:cs="Segoe UI"/>
        </w:rPr>
        <w:t xml:space="preserve">depicts trends in </w:t>
      </w:r>
      <w:r w:rsidR="006F3BF4">
        <w:rPr>
          <w:rFonts w:ascii="Segoe UI" w:hAnsi="Segoe UI" w:cs="Segoe UI"/>
        </w:rPr>
        <w:t xml:space="preserve">the </w:t>
      </w:r>
      <w:r>
        <w:rPr>
          <w:rFonts w:ascii="Segoe UI" w:hAnsi="Segoe UI" w:cs="Segoe UI"/>
        </w:rPr>
        <w:t xml:space="preserve">average inventor team size for government interest patents compared to that of all patents for 1980-2017 grant years. </w:t>
      </w:r>
      <w:r w:rsidR="00421154">
        <w:rPr>
          <w:rFonts w:ascii="Segoe UI" w:hAnsi="Segoe UI" w:cs="Segoe UI"/>
        </w:rPr>
        <w:t>N</w:t>
      </w:r>
      <w:r>
        <w:rPr>
          <w:rFonts w:ascii="Segoe UI" w:hAnsi="Segoe UI" w:cs="Segoe UI"/>
        </w:rPr>
        <w:t>ote that both lines are trending upward, indicating that inventor teams have been expanding over time.</w:t>
      </w:r>
      <w:r w:rsidR="00421154">
        <w:rPr>
          <w:rFonts w:ascii="Segoe UI" w:hAnsi="Segoe UI" w:cs="Segoe UI"/>
        </w:rPr>
        <w:t xml:space="preserve"> Prior literature has doc</w:t>
      </w:r>
      <w:r w:rsidR="006F3BF4">
        <w:rPr>
          <w:rFonts w:ascii="Segoe UI" w:hAnsi="Segoe UI" w:cs="Segoe UI"/>
        </w:rPr>
        <w:t>umented this trend and suggests</w:t>
      </w:r>
      <w:r w:rsidR="00421154">
        <w:rPr>
          <w:rFonts w:ascii="Segoe UI" w:hAnsi="Segoe UI" w:cs="Segoe UI"/>
        </w:rPr>
        <w:t xml:space="preserve"> it reflects a shift in </w:t>
      </w:r>
      <w:r w:rsidR="00421154" w:rsidRPr="00421154">
        <w:rPr>
          <w:rFonts w:ascii="Segoe UI" w:hAnsi="Segoe UI" w:cs="Segoe UI"/>
        </w:rPr>
        <w:t>s</w:t>
      </w:r>
      <w:r w:rsidR="00421154" w:rsidRPr="00EA6DFE">
        <w:rPr>
          <w:rFonts w:ascii="Segoe UI" w:hAnsi="Segoe UI" w:cs="Segoe UI"/>
        </w:rPr>
        <w:t xml:space="preserve">cientific and technological production </w:t>
      </w:r>
      <w:r w:rsidR="00421154">
        <w:rPr>
          <w:rFonts w:ascii="Segoe UI" w:hAnsi="Segoe UI" w:cs="Segoe UI"/>
        </w:rPr>
        <w:t>toward more</w:t>
      </w:r>
      <w:r w:rsidR="00421154" w:rsidRPr="00EA6DFE">
        <w:rPr>
          <w:rFonts w:ascii="Segoe UI" w:hAnsi="Segoe UI" w:cs="Segoe UI"/>
        </w:rPr>
        <w:t xml:space="preserve"> collaboration among diversely specialized inventors (Jones, 2010; Jones et al., 2008; Wuchty et al., 2007). </w:t>
      </w:r>
    </w:p>
    <w:p w14:paraId="3C953A1E" w14:textId="77777777" w:rsidR="00C5172F" w:rsidRPr="00D1542C" w:rsidRDefault="00421154">
      <w:pPr>
        <w:rPr>
          <w:rFonts w:ascii="Segoe UI" w:hAnsi="Segoe UI" w:cs="Segoe UI"/>
        </w:rPr>
      </w:pPr>
      <w:r>
        <w:rPr>
          <w:rFonts w:ascii="Segoe UI" w:hAnsi="Segoe UI" w:cs="Segoe UI"/>
        </w:rPr>
        <w:t xml:space="preserve">As Figure 7 indicates, </w:t>
      </w:r>
      <w:r w:rsidRPr="00EA6DFE">
        <w:rPr>
          <w:rFonts w:ascii="Segoe UI" w:hAnsi="Segoe UI" w:cs="Segoe UI"/>
        </w:rPr>
        <w:t xml:space="preserve">inventor teams </w:t>
      </w:r>
      <w:r>
        <w:rPr>
          <w:rFonts w:ascii="Segoe UI" w:hAnsi="Segoe UI" w:cs="Segoe UI"/>
        </w:rPr>
        <w:t xml:space="preserve">on government interests patents have grown </w:t>
      </w:r>
      <w:r w:rsidR="006F3BF4">
        <w:rPr>
          <w:rFonts w:ascii="Segoe UI" w:hAnsi="Segoe UI" w:cs="Segoe UI"/>
        </w:rPr>
        <w:t>even larger</w:t>
      </w:r>
      <w:r>
        <w:rPr>
          <w:rFonts w:ascii="Segoe UI" w:hAnsi="Segoe UI" w:cs="Segoe UI"/>
        </w:rPr>
        <w:t xml:space="preserve"> </w:t>
      </w:r>
      <w:r w:rsidR="00627C13" w:rsidRPr="00D1542C">
        <w:rPr>
          <w:rFonts w:ascii="Segoe UI" w:hAnsi="Segoe UI" w:cs="Segoe UI"/>
        </w:rPr>
        <w:t xml:space="preserve">than </w:t>
      </w:r>
      <w:r>
        <w:rPr>
          <w:rFonts w:ascii="Segoe UI" w:hAnsi="Segoe UI" w:cs="Segoe UI"/>
        </w:rPr>
        <w:t xml:space="preserve">inventor teams overall. Starting </w:t>
      </w:r>
      <w:r w:rsidR="00D332FD">
        <w:rPr>
          <w:rFonts w:ascii="Segoe UI" w:hAnsi="Segoe UI" w:cs="Segoe UI"/>
        </w:rPr>
        <w:t>in the early</w:t>
      </w:r>
      <w:r w:rsidR="00C5172F" w:rsidRPr="00D1542C">
        <w:rPr>
          <w:rFonts w:ascii="Segoe UI" w:hAnsi="Segoe UI" w:cs="Segoe UI"/>
        </w:rPr>
        <w:t xml:space="preserve"> 199</w:t>
      </w:r>
      <w:r w:rsidR="00D332FD">
        <w:rPr>
          <w:rFonts w:ascii="Segoe UI" w:hAnsi="Segoe UI" w:cs="Segoe UI"/>
        </w:rPr>
        <w:t>0s</w:t>
      </w:r>
      <w:r>
        <w:rPr>
          <w:rFonts w:ascii="Segoe UI" w:hAnsi="Segoe UI" w:cs="Segoe UI"/>
        </w:rPr>
        <w:t xml:space="preserve">, </w:t>
      </w:r>
      <w:r w:rsidR="00D332FD">
        <w:rPr>
          <w:rFonts w:ascii="Segoe UI" w:hAnsi="Segoe UI" w:cs="Segoe UI"/>
        </w:rPr>
        <w:t xml:space="preserve">the gap in </w:t>
      </w:r>
      <w:r>
        <w:rPr>
          <w:rFonts w:ascii="Segoe UI" w:hAnsi="Segoe UI" w:cs="Segoe UI"/>
        </w:rPr>
        <w:t xml:space="preserve">average team size between government interest and </w:t>
      </w:r>
      <w:r w:rsidR="00C5172F" w:rsidRPr="00D1542C">
        <w:rPr>
          <w:rFonts w:ascii="Segoe UI" w:hAnsi="Segoe UI" w:cs="Segoe UI"/>
        </w:rPr>
        <w:t>all patents beg</w:t>
      </w:r>
      <w:r>
        <w:rPr>
          <w:rFonts w:ascii="Segoe UI" w:hAnsi="Segoe UI" w:cs="Segoe UI"/>
        </w:rPr>
        <w:t>an</w:t>
      </w:r>
      <w:r w:rsidR="00C5172F" w:rsidRPr="00D1542C">
        <w:rPr>
          <w:rFonts w:ascii="Segoe UI" w:hAnsi="Segoe UI" w:cs="Segoe UI"/>
        </w:rPr>
        <w:t xml:space="preserve"> to widen.</w:t>
      </w:r>
      <w:r>
        <w:rPr>
          <w:rFonts w:ascii="Segoe UI" w:hAnsi="Segoe UI" w:cs="Segoe UI"/>
        </w:rPr>
        <w:t xml:space="preserve"> Since 2000, government-supported patents have about one more inventor, on average, than </w:t>
      </w:r>
      <w:r w:rsidR="00DD4A95">
        <w:rPr>
          <w:rFonts w:ascii="Segoe UI" w:hAnsi="Segoe UI" w:cs="Segoe UI"/>
        </w:rPr>
        <w:t xml:space="preserve">all patents. </w:t>
      </w:r>
      <w:r w:rsidR="00C5172F" w:rsidRPr="00D1542C">
        <w:rPr>
          <w:rFonts w:ascii="Segoe UI" w:hAnsi="Segoe UI" w:cs="Segoe UI"/>
        </w:rPr>
        <w:t xml:space="preserve">  </w:t>
      </w:r>
    </w:p>
    <w:p w14:paraId="43E3609F" w14:textId="77777777" w:rsidR="00C5172F" w:rsidRDefault="009A6BFF" w:rsidP="00C5172F">
      <w:pPr>
        <w:rPr>
          <w:rFonts w:ascii="Segoe UI" w:hAnsi="Segoe UI" w:cs="Segoe UI"/>
        </w:rPr>
      </w:pPr>
      <w:r>
        <w:rPr>
          <w:rFonts w:ascii="Segoe UI" w:hAnsi="Segoe UI" w:cs="Segoe UI"/>
          <w:noProof/>
        </w:rPr>
        <w:drawing>
          <wp:inline distT="0" distB="0" distL="0" distR="0" wp14:anchorId="7046D5CD" wp14:editId="6885025F">
            <wp:extent cx="5943600" cy="5171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ngInventor_v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04FE97CB" w14:textId="77777777" w:rsidR="00C5172F" w:rsidRDefault="00C5172F" w:rsidP="00C5172F">
      <w:r w:rsidRPr="00ED652E">
        <w:rPr>
          <w:b/>
        </w:rPr>
        <w:t>Figure</w:t>
      </w:r>
      <w:r w:rsidR="00675DF5">
        <w:rPr>
          <w:b/>
        </w:rPr>
        <w:t xml:space="preserve"> 7</w:t>
      </w:r>
      <w:r>
        <w:rPr>
          <w:b/>
        </w:rPr>
        <w:t>:</w:t>
      </w:r>
      <w:r>
        <w:t xml:space="preserve"> Mean number of inventors in government interest patents, and across all patents, 1980-201</w:t>
      </w:r>
      <w:r w:rsidR="009A6BFF">
        <w:t>7</w:t>
      </w:r>
    </w:p>
    <w:p w14:paraId="36120D08" w14:textId="77777777" w:rsidR="006E7CAC" w:rsidRDefault="006E7CAC" w:rsidP="006E7CAC">
      <w:pPr>
        <w:rPr>
          <w:rFonts w:ascii="Segoe UI" w:hAnsi="Segoe UI" w:cs="Segoe UI"/>
        </w:rPr>
      </w:pPr>
      <w:r>
        <w:rPr>
          <w:rFonts w:ascii="Segoe UI" w:hAnsi="Segoe UI" w:cs="Segoe UI"/>
        </w:rPr>
        <w:t>Among g</w:t>
      </w:r>
      <w:r w:rsidRPr="00D1542C">
        <w:rPr>
          <w:rFonts w:ascii="Segoe UI" w:hAnsi="Segoe UI" w:cs="Segoe UI"/>
        </w:rPr>
        <w:t>overnment interest patents</w:t>
      </w:r>
      <w:r>
        <w:rPr>
          <w:rFonts w:ascii="Segoe UI" w:hAnsi="Segoe UI" w:cs="Segoe UI"/>
        </w:rPr>
        <w:t xml:space="preserve">, those assigned to </w:t>
      </w:r>
      <w:r w:rsidR="00772B0D">
        <w:rPr>
          <w:rFonts w:ascii="Segoe UI" w:hAnsi="Segoe UI" w:cs="Segoe UI"/>
        </w:rPr>
        <w:t>universities or hospitals</w:t>
      </w:r>
      <w:r>
        <w:rPr>
          <w:rFonts w:ascii="Segoe UI" w:hAnsi="Segoe UI" w:cs="Segoe UI"/>
        </w:rPr>
        <w:t xml:space="preserve"> and corporate entities are likely to have more inventors than those assigned to government </w:t>
      </w:r>
      <w:r w:rsidRPr="00D1542C">
        <w:rPr>
          <w:rFonts w:ascii="Segoe UI" w:hAnsi="Segoe UI" w:cs="Segoe UI"/>
        </w:rPr>
        <w:t>a</w:t>
      </w:r>
      <w:r>
        <w:rPr>
          <w:rFonts w:ascii="Segoe UI" w:hAnsi="Segoe UI" w:cs="Segoe UI"/>
        </w:rPr>
        <w:t>gencies (not shown). T</w:t>
      </w:r>
      <w:r w:rsidRPr="00D1542C">
        <w:rPr>
          <w:rFonts w:ascii="Segoe UI" w:hAnsi="Segoe UI" w:cs="Segoe UI"/>
        </w:rPr>
        <w:t>his can</w:t>
      </w:r>
      <w:r>
        <w:rPr>
          <w:rFonts w:ascii="Segoe UI" w:hAnsi="Segoe UI" w:cs="Segoe UI"/>
        </w:rPr>
        <w:t>,</w:t>
      </w:r>
      <w:r w:rsidRPr="00D1542C">
        <w:rPr>
          <w:rFonts w:ascii="Segoe UI" w:hAnsi="Segoe UI" w:cs="Segoe UI"/>
        </w:rPr>
        <w:t xml:space="preserve"> in part</w:t>
      </w:r>
      <w:r>
        <w:rPr>
          <w:rFonts w:ascii="Segoe UI" w:hAnsi="Segoe UI" w:cs="Segoe UI"/>
        </w:rPr>
        <w:t>,</w:t>
      </w:r>
      <w:r w:rsidRPr="00D1542C">
        <w:rPr>
          <w:rFonts w:ascii="Segoe UI" w:hAnsi="Segoe UI" w:cs="Segoe UI"/>
        </w:rPr>
        <w:t xml:space="preserve"> be explained by differences in technology fields.  </w:t>
      </w:r>
      <w:r>
        <w:rPr>
          <w:rFonts w:ascii="Segoe UI" w:hAnsi="Segoe UI" w:cs="Segoe UI"/>
        </w:rPr>
        <w:t>G</w:t>
      </w:r>
      <w:r w:rsidRPr="00D1542C">
        <w:rPr>
          <w:rFonts w:ascii="Segoe UI" w:hAnsi="Segoe UI" w:cs="Segoe UI"/>
        </w:rPr>
        <w:t>overnment assigned patents are more likely to fall within measurement,</w:t>
      </w:r>
      <w:r>
        <w:rPr>
          <w:rFonts w:ascii="Segoe UI" w:hAnsi="Segoe UI" w:cs="Segoe UI"/>
        </w:rPr>
        <w:t xml:space="preserve"> optics, and </w:t>
      </w:r>
      <w:r w:rsidRPr="00D1542C">
        <w:rPr>
          <w:rFonts w:ascii="Segoe UI" w:hAnsi="Segoe UI" w:cs="Segoe UI"/>
        </w:rPr>
        <w:t>other special machines</w:t>
      </w:r>
      <w:r>
        <w:rPr>
          <w:rFonts w:ascii="Segoe UI" w:hAnsi="Segoe UI" w:cs="Segoe UI"/>
        </w:rPr>
        <w:t xml:space="preserve"> </w:t>
      </w:r>
      <w:r w:rsidRPr="00D1542C">
        <w:rPr>
          <w:rFonts w:ascii="Segoe UI" w:hAnsi="Segoe UI" w:cs="Segoe UI"/>
        </w:rPr>
        <w:t xml:space="preserve">technology </w:t>
      </w:r>
      <w:r>
        <w:rPr>
          <w:rFonts w:ascii="Segoe UI" w:hAnsi="Segoe UI" w:cs="Segoe UI"/>
        </w:rPr>
        <w:t>fields</w:t>
      </w:r>
      <w:r w:rsidRPr="00D1542C">
        <w:rPr>
          <w:rFonts w:ascii="Segoe UI" w:hAnsi="Segoe UI" w:cs="Segoe UI"/>
        </w:rPr>
        <w:t>, which</w:t>
      </w:r>
      <w:r>
        <w:rPr>
          <w:rFonts w:ascii="Segoe UI" w:hAnsi="Segoe UI" w:cs="Segoe UI"/>
        </w:rPr>
        <w:t>,</w:t>
      </w:r>
      <w:r w:rsidRPr="00D1542C">
        <w:rPr>
          <w:rFonts w:ascii="Segoe UI" w:hAnsi="Segoe UI" w:cs="Segoe UI"/>
        </w:rPr>
        <w:t xml:space="preserve"> on average</w:t>
      </w:r>
      <w:r>
        <w:rPr>
          <w:rFonts w:ascii="Segoe UI" w:hAnsi="Segoe UI" w:cs="Segoe UI"/>
        </w:rPr>
        <w:t>,</w:t>
      </w:r>
      <w:r w:rsidRPr="00D1542C">
        <w:rPr>
          <w:rFonts w:ascii="Segoe UI" w:hAnsi="Segoe UI" w:cs="Segoe UI"/>
        </w:rPr>
        <w:t xml:space="preserve"> have smaller inventor teams than fields often </w:t>
      </w:r>
      <w:r>
        <w:rPr>
          <w:rFonts w:ascii="Segoe UI" w:hAnsi="Segoe UI" w:cs="Segoe UI"/>
        </w:rPr>
        <w:t>associated with</w:t>
      </w:r>
      <w:r w:rsidRPr="00D1542C">
        <w:rPr>
          <w:rFonts w:ascii="Segoe UI" w:hAnsi="Segoe UI" w:cs="Segoe UI"/>
        </w:rPr>
        <w:t xml:space="preserve"> </w:t>
      </w:r>
      <w:r w:rsidR="00772B0D">
        <w:rPr>
          <w:rFonts w:ascii="Segoe UI" w:hAnsi="Segoe UI" w:cs="Segoe UI"/>
        </w:rPr>
        <w:t>academic</w:t>
      </w:r>
      <w:r w:rsidRPr="00D1542C">
        <w:rPr>
          <w:rFonts w:ascii="Segoe UI" w:hAnsi="Segoe UI" w:cs="Segoe UI"/>
        </w:rPr>
        <w:t xml:space="preserve"> and corporate patents, such as biotechnology, pharmaceuticals, and organic fine chemistry. </w:t>
      </w:r>
    </w:p>
    <w:p w14:paraId="6D8AADEA" w14:textId="77777777" w:rsidR="005B2219" w:rsidRDefault="005B2219" w:rsidP="005B2219">
      <w:pPr>
        <w:rPr>
          <w:rFonts w:ascii="Cambria" w:hAnsi="Cambria" w:cs="Segoe UI"/>
          <w:b/>
          <w:sz w:val="28"/>
        </w:rPr>
      </w:pPr>
      <w:r>
        <w:rPr>
          <w:rFonts w:ascii="Cambria" w:hAnsi="Cambria" w:cs="Segoe UI"/>
          <w:b/>
          <w:sz w:val="28"/>
        </w:rPr>
        <w:t>A Women Inventor Contributed to Half of the Government Interest Patents Granted in Recent Years</w:t>
      </w:r>
    </w:p>
    <w:p w14:paraId="7C3EEB2E" w14:textId="77777777" w:rsidR="00D273B5" w:rsidRPr="00EC3F9E" w:rsidRDefault="00D273B5">
      <w:pPr>
        <w:rPr>
          <w:rFonts w:ascii="Segoe UI" w:hAnsi="Segoe UI" w:cs="Segoe UI"/>
          <w:b/>
          <w:color w:val="2E74B5" w:themeColor="accent1" w:themeShade="BF"/>
        </w:rPr>
      </w:pPr>
      <w:r>
        <w:rPr>
          <w:rFonts w:ascii="Segoe UI" w:hAnsi="Segoe UI" w:cs="Segoe UI"/>
        </w:rPr>
        <w:t xml:space="preserve">As government-supported patent inventor teams have expanded, women inventors are increasingly participating on those teams. Figure 8 </w:t>
      </w:r>
      <w:r w:rsidR="004F20FE">
        <w:rPr>
          <w:rFonts w:ascii="Segoe UI" w:hAnsi="Segoe UI" w:cs="Segoe UI"/>
        </w:rPr>
        <w:t>illustrates</w:t>
      </w:r>
      <w:r>
        <w:rPr>
          <w:rFonts w:ascii="Segoe UI" w:hAnsi="Segoe UI" w:cs="Segoe UI"/>
        </w:rPr>
        <w:t xml:space="preserve"> the share of government interest patents </w:t>
      </w:r>
      <w:r w:rsidR="004F20FE">
        <w:rPr>
          <w:rFonts w:ascii="Segoe UI" w:hAnsi="Segoe UI" w:cs="Segoe UI"/>
        </w:rPr>
        <w:t xml:space="preserve">granted </w:t>
      </w:r>
      <w:r>
        <w:rPr>
          <w:rFonts w:ascii="Segoe UI" w:hAnsi="Segoe UI" w:cs="Segoe UI"/>
        </w:rPr>
        <w:t>with all male inventors compared to those with at least one women inventor.</w:t>
      </w:r>
      <w:r w:rsidR="004F20FE">
        <w:rPr>
          <w:rStyle w:val="FootnoteReference"/>
          <w:rFonts w:ascii="Segoe UI" w:hAnsi="Segoe UI" w:cs="Segoe UI"/>
        </w:rPr>
        <w:footnoteReference w:id="16"/>
      </w:r>
      <w:r>
        <w:rPr>
          <w:rFonts w:ascii="Segoe UI" w:hAnsi="Segoe UI" w:cs="Segoe UI"/>
        </w:rPr>
        <w:t xml:space="preserve"> </w:t>
      </w:r>
      <w:r w:rsidR="004F20FE">
        <w:rPr>
          <w:rFonts w:ascii="Segoe UI" w:hAnsi="Segoe UI" w:cs="Segoe UI"/>
        </w:rPr>
        <w:t xml:space="preserve">In the Bayh-Dole era, the share of government interest patents with at least one women inventor increased fivefold from roughly 10% in 1980 to 51% in 2016. </w:t>
      </w:r>
      <w:r w:rsidR="00E10B76">
        <w:rPr>
          <w:rFonts w:ascii="Segoe UI" w:hAnsi="Segoe UI" w:cs="Segoe UI"/>
        </w:rPr>
        <w:t xml:space="preserve">By comparison, the share of all patents with at least one women inventor grew from roughly 7% in the 1980s to only 22% in 2016 ([gender brief]). </w:t>
      </w:r>
      <w:r w:rsidR="004F20FE">
        <w:rPr>
          <w:rFonts w:ascii="Segoe UI" w:hAnsi="Segoe UI" w:cs="Segoe UI"/>
        </w:rPr>
        <w:t xml:space="preserve"> </w:t>
      </w:r>
    </w:p>
    <w:p w14:paraId="14D1499C" w14:textId="77777777" w:rsidR="005B2219" w:rsidRDefault="004F20FE" w:rsidP="005B2219">
      <w:pPr>
        <w:rPr>
          <w:rFonts w:ascii="Segoe UI" w:hAnsi="Segoe UI" w:cs="Segoe UI"/>
        </w:rPr>
      </w:pPr>
      <w:r>
        <w:rPr>
          <w:rFonts w:ascii="Segoe UI" w:hAnsi="Segoe UI" w:cs="Segoe UI"/>
          <w:noProof/>
        </w:rPr>
        <w:drawing>
          <wp:inline distT="0" distB="0" distL="0" distR="0" wp14:anchorId="51B8DBBD" wp14:editId="3BD2CAB6">
            <wp:extent cx="5943600" cy="5171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_teams_with_female_inventors_over_ti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3C01AFED" w14:textId="77777777" w:rsidR="005B2219" w:rsidRDefault="005B2219" w:rsidP="005B2219">
      <w:r w:rsidRPr="00ED652E">
        <w:rPr>
          <w:b/>
        </w:rPr>
        <w:t xml:space="preserve">Figure </w:t>
      </w:r>
      <w:r w:rsidR="00675DF5">
        <w:rPr>
          <w:b/>
        </w:rPr>
        <w:t>8</w:t>
      </w:r>
      <w:r>
        <w:rPr>
          <w:b/>
        </w:rPr>
        <w:t>:</w:t>
      </w:r>
      <w:r>
        <w:t xml:space="preserve"> This shows a simplified version of 4b.1 without the team size component</w:t>
      </w:r>
      <w:r w:rsidR="009A6BFF">
        <w:t>, 1980-2016</w:t>
      </w:r>
      <w:r>
        <w:t xml:space="preserve"> </w:t>
      </w:r>
    </w:p>
    <w:p w14:paraId="27C6F12A" w14:textId="77777777" w:rsidR="009D0468" w:rsidRDefault="009D0468" w:rsidP="00C5172F"/>
    <w:p w14:paraId="161E9879" w14:textId="77777777" w:rsidR="009D0468" w:rsidRDefault="009D0468" w:rsidP="00C5172F"/>
    <w:p w14:paraId="2ECC26FC" w14:textId="77777777" w:rsidR="009D0468" w:rsidRDefault="000A368A" w:rsidP="00C5172F">
      <w:r>
        <w:rPr>
          <w:noProof/>
        </w:rPr>
        <w:drawing>
          <wp:inline distT="0" distB="0" distL="0" distR="0" wp14:anchorId="20B774EC" wp14:editId="390D3C2E">
            <wp:extent cx="5943600" cy="5171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cent_with_female_inventor_by_team_size_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690060E5" w14:textId="77777777" w:rsidR="009D0468" w:rsidRDefault="009D0468" w:rsidP="009D0468">
      <w:r w:rsidRPr="00ED652E">
        <w:rPr>
          <w:b/>
        </w:rPr>
        <w:t xml:space="preserve">Figure </w:t>
      </w:r>
      <w:r w:rsidR="00D273B5">
        <w:rPr>
          <w:b/>
        </w:rPr>
        <w:t>9</w:t>
      </w:r>
      <w:r>
        <w:rPr>
          <w:b/>
        </w:rPr>
        <w:t>:</w:t>
      </w:r>
      <w:r>
        <w:t xml:space="preserve"> This shows a simplified version of 4b.1 without the time trend component </w:t>
      </w:r>
    </w:p>
    <w:p w14:paraId="4E9218BE" w14:textId="77777777" w:rsidR="00D57A58" w:rsidRDefault="00D57A58" w:rsidP="00C5172F">
      <w:pPr>
        <w:rPr>
          <w:rFonts w:ascii="Segoe UI" w:hAnsi="Segoe UI" w:cs="Segoe UI"/>
        </w:rPr>
      </w:pPr>
    </w:p>
    <w:p w14:paraId="55CC0BE9" w14:textId="77777777" w:rsidR="009D0468" w:rsidRDefault="009D0468" w:rsidP="00C5172F">
      <w:pPr>
        <w:rPr>
          <w:rFonts w:ascii="Segoe UI" w:hAnsi="Segoe UI" w:cs="Segoe UI"/>
        </w:rPr>
      </w:pPr>
    </w:p>
    <w:p w14:paraId="0FF1D026" w14:textId="77777777" w:rsidR="00C5172F" w:rsidRPr="00EC3F9E" w:rsidRDefault="00D273B5" w:rsidP="00C5172F">
      <w:pPr>
        <w:rPr>
          <w:rFonts w:ascii="Segoe UI" w:hAnsi="Segoe UI" w:cs="Segoe UI"/>
          <w:b/>
          <w:color w:val="2E74B5" w:themeColor="accent1" w:themeShade="BF"/>
        </w:rPr>
      </w:pPr>
      <w:r>
        <w:rPr>
          <w:rFonts w:ascii="Cambria" w:hAnsi="Cambria" w:cs="Segoe UI"/>
          <w:b/>
          <w:sz w:val="28"/>
        </w:rPr>
        <w:t>Federally-support patents held by u</w:t>
      </w:r>
      <w:r w:rsidR="00247105">
        <w:rPr>
          <w:rFonts w:ascii="Cambria" w:hAnsi="Cambria" w:cs="Segoe UI"/>
          <w:b/>
          <w:sz w:val="28"/>
        </w:rPr>
        <w:t>niversit</w:t>
      </w:r>
      <w:r>
        <w:rPr>
          <w:rFonts w:ascii="Cambria" w:hAnsi="Cambria" w:cs="Segoe UI"/>
          <w:b/>
          <w:sz w:val="28"/>
        </w:rPr>
        <w:t>ies, hospitals, and firms</w:t>
      </w:r>
      <w:r w:rsidR="00C5172F">
        <w:rPr>
          <w:rFonts w:ascii="Cambria" w:hAnsi="Cambria" w:cs="Segoe UI"/>
          <w:b/>
          <w:sz w:val="28"/>
        </w:rPr>
        <w:t xml:space="preserve"> are </w:t>
      </w:r>
      <w:r>
        <w:rPr>
          <w:rFonts w:ascii="Cambria" w:hAnsi="Cambria" w:cs="Segoe UI"/>
          <w:b/>
          <w:sz w:val="28"/>
        </w:rPr>
        <w:t>m</w:t>
      </w:r>
      <w:r w:rsidR="00C5172F">
        <w:rPr>
          <w:rFonts w:ascii="Cambria" w:hAnsi="Cambria" w:cs="Segoe UI"/>
          <w:b/>
          <w:sz w:val="28"/>
        </w:rPr>
        <w:t xml:space="preserve">ore </w:t>
      </w:r>
      <w:r>
        <w:rPr>
          <w:rFonts w:ascii="Cambria" w:hAnsi="Cambria" w:cs="Segoe UI"/>
          <w:b/>
          <w:sz w:val="28"/>
        </w:rPr>
        <w:t>c</w:t>
      </w:r>
      <w:r w:rsidR="00E241BE">
        <w:rPr>
          <w:rFonts w:ascii="Cambria" w:hAnsi="Cambria" w:cs="Segoe UI"/>
          <w:b/>
          <w:sz w:val="28"/>
        </w:rPr>
        <w:t>ited</w:t>
      </w:r>
      <w:r w:rsidR="00C5172F">
        <w:rPr>
          <w:rFonts w:ascii="Cambria" w:hAnsi="Cambria" w:cs="Segoe UI"/>
          <w:b/>
          <w:sz w:val="28"/>
        </w:rPr>
        <w:t xml:space="preserve"> than </w:t>
      </w:r>
      <w:r>
        <w:rPr>
          <w:rFonts w:ascii="Cambria" w:hAnsi="Cambria" w:cs="Segoe UI"/>
          <w:b/>
          <w:sz w:val="28"/>
        </w:rPr>
        <w:t>those held by government agencies</w:t>
      </w:r>
      <w:r w:rsidR="00E241BE" w:rsidRPr="006C41BD">
        <w:rPr>
          <w:rFonts w:ascii="Cambria" w:hAnsi="Cambria" w:cs="Segoe UI"/>
          <w:b/>
          <w:sz w:val="28"/>
        </w:rPr>
        <w:t xml:space="preserve"> </w:t>
      </w:r>
    </w:p>
    <w:p w14:paraId="4ACB07DD" w14:textId="77777777" w:rsidR="00CB3060" w:rsidRDefault="00C5172F" w:rsidP="00C5172F">
      <w:pPr>
        <w:rPr>
          <w:rFonts w:ascii="Segoe UI" w:hAnsi="Segoe UI" w:cs="Segoe UI"/>
        </w:rPr>
      </w:pPr>
      <w:r w:rsidRPr="00D1542C">
        <w:rPr>
          <w:rFonts w:ascii="Segoe UI" w:hAnsi="Segoe UI" w:cs="Segoe UI"/>
        </w:rPr>
        <w:t>A final takeaway relates to the impact that government interest patent</w:t>
      </w:r>
      <w:r w:rsidR="00CB3060">
        <w:rPr>
          <w:rFonts w:ascii="Segoe UI" w:hAnsi="Segoe UI" w:cs="Segoe UI"/>
        </w:rPr>
        <w:t>s</w:t>
      </w:r>
      <w:r w:rsidRPr="00D1542C">
        <w:rPr>
          <w:rFonts w:ascii="Segoe UI" w:hAnsi="Segoe UI" w:cs="Segoe UI"/>
        </w:rPr>
        <w:t xml:space="preserve"> ha</w:t>
      </w:r>
      <w:r w:rsidR="00CB3060">
        <w:rPr>
          <w:rFonts w:ascii="Segoe UI" w:hAnsi="Segoe UI" w:cs="Segoe UI"/>
        </w:rPr>
        <w:t>ve</w:t>
      </w:r>
      <w:r w:rsidRPr="00D1542C">
        <w:rPr>
          <w:rFonts w:ascii="Segoe UI" w:hAnsi="Segoe UI" w:cs="Segoe UI"/>
        </w:rPr>
        <w:t xml:space="preserve"> on future </w:t>
      </w:r>
      <w:r w:rsidR="00CB3060">
        <w:rPr>
          <w:rFonts w:ascii="Segoe UI" w:hAnsi="Segoe UI" w:cs="Segoe UI"/>
        </w:rPr>
        <w:t>innovation</w:t>
      </w:r>
      <w:r w:rsidRPr="00D1542C">
        <w:rPr>
          <w:rFonts w:ascii="Segoe UI" w:hAnsi="Segoe UI" w:cs="Segoe UI"/>
        </w:rPr>
        <w:t xml:space="preserve">.  Figure </w:t>
      </w:r>
      <w:r w:rsidR="00D273B5">
        <w:rPr>
          <w:rFonts w:ascii="Segoe UI" w:hAnsi="Segoe UI" w:cs="Segoe UI"/>
        </w:rPr>
        <w:t>10</w:t>
      </w:r>
      <w:r w:rsidRPr="00D1542C">
        <w:rPr>
          <w:rFonts w:ascii="Segoe UI" w:hAnsi="Segoe UI" w:cs="Segoe UI"/>
        </w:rPr>
        <w:t xml:space="preserve"> </w:t>
      </w:r>
      <w:r w:rsidR="00E241BE">
        <w:rPr>
          <w:rFonts w:ascii="Segoe UI" w:hAnsi="Segoe UI" w:cs="Segoe UI"/>
        </w:rPr>
        <w:t xml:space="preserve">presents </w:t>
      </w:r>
      <w:r>
        <w:rPr>
          <w:rFonts w:ascii="Segoe UI" w:hAnsi="Segoe UI" w:cs="Segoe UI"/>
        </w:rPr>
        <w:t xml:space="preserve">the </w:t>
      </w:r>
      <w:r w:rsidR="00D273B5">
        <w:rPr>
          <w:rFonts w:ascii="Segoe UI" w:hAnsi="Segoe UI" w:cs="Segoe UI"/>
        </w:rPr>
        <w:t xml:space="preserve">average </w:t>
      </w:r>
      <w:r>
        <w:rPr>
          <w:rFonts w:ascii="Segoe UI" w:hAnsi="Segoe UI" w:cs="Segoe UI"/>
        </w:rPr>
        <w:t xml:space="preserve">number of citations </w:t>
      </w:r>
      <w:r w:rsidRPr="00D1542C">
        <w:rPr>
          <w:rFonts w:ascii="Segoe UI" w:hAnsi="Segoe UI" w:cs="Segoe UI"/>
        </w:rPr>
        <w:t>government interest patents</w:t>
      </w:r>
      <w:r w:rsidR="00D273B5">
        <w:rPr>
          <w:rFonts w:ascii="Segoe UI" w:hAnsi="Segoe UI" w:cs="Segoe UI"/>
        </w:rPr>
        <w:t xml:space="preserve"> received by subsequent patents </w:t>
      </w:r>
      <w:r>
        <w:rPr>
          <w:rFonts w:ascii="Segoe UI" w:hAnsi="Segoe UI" w:cs="Segoe UI"/>
        </w:rPr>
        <w:t xml:space="preserve">within a </w:t>
      </w:r>
      <w:r w:rsidR="003D1306">
        <w:rPr>
          <w:rFonts w:ascii="Segoe UI" w:hAnsi="Segoe UI" w:cs="Segoe UI"/>
        </w:rPr>
        <w:t>five-year</w:t>
      </w:r>
      <w:r>
        <w:rPr>
          <w:rFonts w:ascii="Segoe UI" w:hAnsi="Segoe UI" w:cs="Segoe UI"/>
        </w:rPr>
        <w:t xml:space="preserve"> window </w:t>
      </w:r>
      <w:r w:rsidR="00D273B5">
        <w:rPr>
          <w:rFonts w:ascii="Segoe UI" w:hAnsi="Segoe UI" w:cs="Segoe UI"/>
        </w:rPr>
        <w:t xml:space="preserve">from </w:t>
      </w:r>
      <w:r>
        <w:rPr>
          <w:rFonts w:ascii="Segoe UI" w:hAnsi="Segoe UI" w:cs="Segoe UI"/>
        </w:rPr>
        <w:t>the patent grant date</w:t>
      </w:r>
      <w:r w:rsidR="00D273B5">
        <w:rPr>
          <w:rFonts w:ascii="Segoe UI" w:hAnsi="Segoe UI" w:cs="Segoe UI"/>
        </w:rPr>
        <w:t xml:space="preserve"> and broken out by the assignee sector</w:t>
      </w:r>
      <w:r w:rsidRPr="00D1542C">
        <w:rPr>
          <w:rFonts w:ascii="Segoe UI" w:hAnsi="Segoe UI" w:cs="Segoe UI"/>
        </w:rPr>
        <w:t>.</w:t>
      </w:r>
      <w:r>
        <w:rPr>
          <w:rFonts w:ascii="Segoe UI" w:hAnsi="Segoe UI" w:cs="Segoe UI"/>
        </w:rPr>
        <w:t xml:space="preserve">  </w:t>
      </w:r>
      <w:r w:rsidR="00CB3060">
        <w:rPr>
          <w:rFonts w:ascii="Segoe UI" w:hAnsi="Segoe UI" w:cs="Segoe UI"/>
        </w:rPr>
        <w:t xml:space="preserve">It includes only government interest patents granted 1980-2012, for which a full five years of citations are observable. </w:t>
      </w:r>
    </w:p>
    <w:p w14:paraId="69F97CC1" w14:textId="77777777" w:rsidR="00C5172F" w:rsidRDefault="00C5172F" w:rsidP="00C5172F">
      <w:pPr>
        <w:rPr>
          <w:rFonts w:ascii="Segoe UI" w:hAnsi="Segoe UI" w:cs="Segoe UI"/>
        </w:rPr>
      </w:pPr>
      <w:r>
        <w:rPr>
          <w:rFonts w:ascii="Segoe UI" w:hAnsi="Segoe UI" w:cs="Segoe UI"/>
        </w:rPr>
        <w:t>Government assigned patents have the lowest mean citation rate. Corporate and university assigned government interest patents have similar mean citation rates with means intersecting in 1998: thi</w:t>
      </w:r>
      <w:r w:rsidR="00F47371">
        <w:rPr>
          <w:rFonts w:ascii="Segoe UI" w:hAnsi="Segoe UI" w:cs="Segoe UI"/>
        </w:rPr>
        <w:t>s is the first year that mean five-year</w:t>
      </w:r>
      <w:r>
        <w:rPr>
          <w:rFonts w:ascii="Segoe UI" w:hAnsi="Segoe UI" w:cs="Segoe UI"/>
        </w:rPr>
        <w:t xml:space="preserve"> citation rates in corporate government interest patenting exceed </w:t>
      </w:r>
      <w:r w:rsidR="00F47371">
        <w:rPr>
          <w:rFonts w:ascii="Segoe UI" w:hAnsi="Segoe UI" w:cs="Segoe UI"/>
        </w:rPr>
        <w:t xml:space="preserve">those of </w:t>
      </w:r>
      <w:r>
        <w:rPr>
          <w:rFonts w:ascii="Segoe UI" w:hAnsi="Segoe UI" w:cs="Segoe UI"/>
        </w:rPr>
        <w:t xml:space="preserve">university government interest patenting. </w:t>
      </w:r>
    </w:p>
    <w:p w14:paraId="2333DF4B" w14:textId="77777777" w:rsidR="00C5172F" w:rsidRPr="00D1542C" w:rsidRDefault="00C5172F" w:rsidP="00C5172F">
      <w:pPr>
        <w:rPr>
          <w:rFonts w:ascii="Segoe UI" w:hAnsi="Segoe UI" w:cs="Segoe UI"/>
        </w:rPr>
      </w:pPr>
      <w:r>
        <w:rPr>
          <w:rFonts w:ascii="Segoe UI" w:hAnsi="Segoe UI" w:cs="Segoe UI"/>
        </w:rPr>
        <w:t xml:space="preserve">Figure </w:t>
      </w:r>
      <w:r w:rsidR="00CB3060">
        <w:rPr>
          <w:rFonts w:ascii="Segoe UI" w:hAnsi="Segoe UI" w:cs="Segoe UI"/>
        </w:rPr>
        <w:t>10</w:t>
      </w:r>
      <w:r>
        <w:rPr>
          <w:rFonts w:ascii="Segoe UI" w:hAnsi="Segoe UI" w:cs="Segoe UI"/>
        </w:rPr>
        <w:t xml:space="preserve"> also shows that the mean citation rate for non-government interest patents (</w:t>
      </w:r>
      <w:r w:rsidR="00F47371">
        <w:rPr>
          <w:rFonts w:ascii="Segoe UI" w:hAnsi="Segoe UI" w:cs="Segoe UI"/>
        </w:rPr>
        <w:t>4.57</w:t>
      </w:r>
      <w:r>
        <w:rPr>
          <w:rFonts w:ascii="Segoe UI" w:hAnsi="Segoe UI" w:cs="Segoe UI"/>
        </w:rPr>
        <w:t xml:space="preserve"> </w:t>
      </w:r>
      <w:r w:rsidR="00AE7B24">
        <w:rPr>
          <w:rFonts w:ascii="Segoe UI" w:hAnsi="Segoe UI" w:cs="Segoe UI"/>
        </w:rPr>
        <w:t>from 1980 to 2012</w:t>
      </w:r>
      <w:r w:rsidR="00F47371">
        <w:rPr>
          <w:rFonts w:ascii="Segoe UI" w:hAnsi="Segoe UI" w:cs="Segoe UI"/>
        </w:rPr>
        <w:t xml:space="preserve"> in the five-year citation window</w:t>
      </w:r>
      <w:r>
        <w:rPr>
          <w:rFonts w:ascii="Segoe UI" w:hAnsi="Segoe UI" w:cs="Segoe UI"/>
        </w:rPr>
        <w:t>) exceeds the mean citation rate</w:t>
      </w:r>
      <w:r w:rsidR="00822AAB">
        <w:rPr>
          <w:rFonts w:ascii="Segoe UI" w:hAnsi="Segoe UI" w:cs="Segoe UI"/>
        </w:rPr>
        <w:t>s</w:t>
      </w:r>
      <w:r>
        <w:rPr>
          <w:rFonts w:ascii="Segoe UI" w:hAnsi="Segoe UI" w:cs="Segoe UI"/>
        </w:rPr>
        <w:t xml:space="preserve"> for </w:t>
      </w:r>
      <w:r w:rsidR="00AE7B24">
        <w:rPr>
          <w:rFonts w:ascii="Segoe UI" w:hAnsi="Segoe UI" w:cs="Segoe UI"/>
        </w:rPr>
        <w:t>corporate government interest patents (3.75), university government interest patents (3.52), and government assigned patents (2.27)</w:t>
      </w:r>
      <w:r>
        <w:rPr>
          <w:rFonts w:ascii="Segoe UI" w:hAnsi="Segoe UI" w:cs="Segoe UI"/>
        </w:rPr>
        <w:t xml:space="preserve">.  Further study is needed to determine whether additional explanatory factors, such as technology class level differences, account for this overall difference in mean citation rates across government and non-government </w:t>
      </w:r>
      <w:r w:rsidR="002D3FE9">
        <w:rPr>
          <w:rFonts w:ascii="Segoe UI" w:hAnsi="Segoe UI" w:cs="Segoe UI"/>
        </w:rPr>
        <w:t>interest</w:t>
      </w:r>
      <w:r>
        <w:rPr>
          <w:rFonts w:ascii="Segoe UI" w:hAnsi="Segoe UI" w:cs="Segoe UI"/>
        </w:rPr>
        <w:t xml:space="preserve"> patents. </w:t>
      </w:r>
    </w:p>
    <w:p w14:paraId="1809F84C" w14:textId="77777777" w:rsidR="00683510" w:rsidRDefault="009A6BFF" w:rsidP="00C5172F">
      <w:pPr>
        <w:rPr>
          <w:rFonts w:ascii="Segoe UI" w:hAnsi="Segoe UI" w:cs="Segoe UI"/>
        </w:rPr>
      </w:pPr>
      <w:r>
        <w:rPr>
          <w:rFonts w:ascii="Segoe UI" w:hAnsi="Segoe UI" w:cs="Segoe UI"/>
          <w:noProof/>
        </w:rPr>
        <w:drawing>
          <wp:inline distT="0" distB="0" distL="0" distR="0" wp14:anchorId="4BCA7E43" wp14:editId="325AAA1B">
            <wp:extent cx="5943600" cy="5171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veYearCitationImpact_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518729FD" w14:textId="77777777" w:rsidR="00683510" w:rsidRDefault="00683510" w:rsidP="00C5172F">
      <w:pPr>
        <w:rPr>
          <w:rFonts w:ascii="Segoe UI" w:hAnsi="Segoe UI" w:cs="Segoe UI"/>
        </w:rPr>
      </w:pPr>
    </w:p>
    <w:p w14:paraId="4962B975" w14:textId="77777777" w:rsidR="00C5172F" w:rsidRPr="002D3FE9" w:rsidRDefault="00C5172F" w:rsidP="00C5172F">
      <w:pPr>
        <w:rPr>
          <w:rFonts w:ascii="Segoe UI" w:hAnsi="Segoe UI" w:cs="Segoe UI"/>
        </w:rPr>
      </w:pPr>
      <w:r w:rsidRPr="00D1542C">
        <w:rPr>
          <w:rFonts w:ascii="Segoe UI" w:hAnsi="Segoe UI" w:cs="Segoe UI"/>
          <w:b/>
        </w:rPr>
        <w:t>Figure</w:t>
      </w:r>
      <w:r w:rsidR="00047485">
        <w:rPr>
          <w:rFonts w:ascii="Segoe UI" w:hAnsi="Segoe UI" w:cs="Segoe UI"/>
          <w:b/>
        </w:rPr>
        <w:t xml:space="preserve"> </w:t>
      </w:r>
      <w:r w:rsidR="00CB3060">
        <w:rPr>
          <w:rFonts w:ascii="Segoe UI" w:hAnsi="Segoe UI" w:cs="Segoe UI"/>
          <w:b/>
        </w:rPr>
        <w:t>10</w:t>
      </w:r>
      <w:r w:rsidRPr="00D1542C">
        <w:rPr>
          <w:rFonts w:ascii="Segoe UI" w:hAnsi="Segoe UI" w:cs="Segoe UI"/>
          <w:b/>
        </w:rPr>
        <w:t xml:space="preserve">: </w:t>
      </w:r>
      <w:r w:rsidR="00CB3060">
        <w:rPr>
          <w:rFonts w:ascii="Segoe UI" w:hAnsi="Segoe UI" w:cs="Segoe UI"/>
        </w:rPr>
        <w:t xml:space="preserve">Average number of </w:t>
      </w:r>
      <w:r w:rsidR="002D3FE9">
        <w:rPr>
          <w:rFonts w:ascii="Segoe UI" w:hAnsi="Segoe UI" w:cs="Segoe UI"/>
        </w:rPr>
        <w:t xml:space="preserve">citation </w:t>
      </w:r>
      <w:r w:rsidR="00CB3060">
        <w:rPr>
          <w:rFonts w:ascii="Segoe UI" w:hAnsi="Segoe UI" w:cs="Segoe UI"/>
        </w:rPr>
        <w:t>from subsequent patents received by</w:t>
      </w:r>
      <w:r w:rsidR="002D3FE9">
        <w:rPr>
          <w:rFonts w:ascii="Segoe UI" w:hAnsi="Segoe UI" w:cs="Segoe UI"/>
        </w:rPr>
        <w:t xml:space="preserve"> government interest patents, by </w:t>
      </w:r>
      <w:r w:rsidR="00CB3060">
        <w:rPr>
          <w:rFonts w:ascii="Segoe UI" w:hAnsi="Segoe UI" w:cs="Segoe UI"/>
        </w:rPr>
        <w:t xml:space="preserve">assignee </w:t>
      </w:r>
      <w:r w:rsidR="002D3FE9">
        <w:rPr>
          <w:rFonts w:ascii="Segoe UI" w:hAnsi="Segoe UI" w:cs="Segoe UI"/>
        </w:rPr>
        <w:t xml:space="preserve">sector, 1980 – </w:t>
      </w:r>
      <w:r w:rsidR="002D3FE9" w:rsidRPr="00EA6DFE">
        <w:rPr>
          <w:rFonts w:ascii="Segoe UI" w:hAnsi="Segoe UI" w:cs="Segoe UI"/>
          <w:highlight w:val="green"/>
        </w:rPr>
        <w:t>2012</w:t>
      </w:r>
      <w:r w:rsidR="002D3FE9">
        <w:rPr>
          <w:rFonts w:ascii="Segoe UI" w:hAnsi="Segoe UI" w:cs="Segoe UI"/>
        </w:rPr>
        <w:t xml:space="preserve"> </w:t>
      </w:r>
    </w:p>
    <w:p w14:paraId="6B71A294" w14:textId="77777777" w:rsidR="00C5172F" w:rsidRDefault="00C5172F" w:rsidP="00C5172F">
      <w:pPr>
        <w:rPr>
          <w:rFonts w:ascii="Segoe UI" w:hAnsi="Segoe UI" w:cs="Segoe UI"/>
        </w:rPr>
      </w:pPr>
    </w:p>
    <w:p w14:paraId="0177093F" w14:textId="77777777" w:rsidR="002D3FE9" w:rsidRDefault="002D3FE9">
      <w:pPr>
        <w:spacing w:after="0" w:line="240" w:lineRule="auto"/>
        <w:rPr>
          <w:rFonts w:ascii="Cambria" w:hAnsi="Cambria" w:cs="Segoe UI"/>
          <w:b/>
          <w:sz w:val="28"/>
        </w:rPr>
      </w:pPr>
      <w:r>
        <w:rPr>
          <w:rFonts w:ascii="Cambria" w:hAnsi="Cambria" w:cs="Segoe UI"/>
          <w:b/>
          <w:sz w:val="28"/>
        </w:rPr>
        <w:br w:type="page"/>
      </w:r>
    </w:p>
    <w:p w14:paraId="4EAA6491" w14:textId="77777777" w:rsidR="00C5172F" w:rsidRPr="00677B67" w:rsidRDefault="002D3FE9" w:rsidP="00C5172F">
      <w:pPr>
        <w:rPr>
          <w:rFonts w:ascii="Cambria" w:hAnsi="Cambria" w:cs="Segoe UI"/>
          <w:b/>
          <w:sz w:val="28"/>
          <w:szCs w:val="28"/>
        </w:rPr>
      </w:pPr>
      <w:r w:rsidRPr="00677B67">
        <w:rPr>
          <w:rFonts w:ascii="Cambria" w:hAnsi="Cambria" w:cs="Segoe UI"/>
          <w:b/>
          <w:sz w:val="28"/>
          <w:szCs w:val="28"/>
        </w:rPr>
        <w:t xml:space="preserve">Appendix A: Data and </w:t>
      </w:r>
      <w:r w:rsidR="00C5172F" w:rsidRPr="00677B67">
        <w:rPr>
          <w:rFonts w:ascii="Cambria" w:hAnsi="Cambria" w:cs="Segoe UI"/>
          <w:b/>
          <w:sz w:val="28"/>
          <w:szCs w:val="28"/>
        </w:rPr>
        <w:t>Methods</w:t>
      </w:r>
    </w:p>
    <w:p w14:paraId="79E0EEBB" w14:textId="77777777" w:rsidR="00C5172F" w:rsidRPr="002F3DE5" w:rsidRDefault="00C5172F" w:rsidP="00C5172F">
      <w:pPr>
        <w:rPr>
          <w:rFonts w:ascii="Segoe UI" w:hAnsi="Segoe UI" w:cs="Segoe UI"/>
        </w:rPr>
      </w:pPr>
      <w:r w:rsidRPr="002F3DE5">
        <w:rPr>
          <w:rFonts w:ascii="Segoe UI" w:hAnsi="Segoe UI" w:cs="Segoe UI"/>
        </w:rPr>
        <w:t xml:space="preserve">This analysis is made possible by </w:t>
      </w:r>
      <w:hyperlink r:id="rId22" w:history="1">
        <w:r w:rsidRPr="002F3DE5">
          <w:rPr>
            <w:rStyle w:val="Hyperlink"/>
            <w:rFonts w:ascii="Segoe UI" w:hAnsi="Segoe UI" w:cs="Segoe UI"/>
          </w:rPr>
          <w:t>www.PatentsView.org</w:t>
        </w:r>
      </w:hyperlink>
      <w:r w:rsidRPr="002F3DE5">
        <w:rPr>
          <w:rFonts w:ascii="Segoe UI" w:hAnsi="Segoe UI" w:cs="Segoe UI"/>
        </w:rPr>
        <w:t>, a patent data visualization and analysis platform intended to increase the value, utility, and transparency of US patent data.</w:t>
      </w:r>
      <w:r w:rsidRPr="002F3DE5">
        <w:rPr>
          <w:rStyle w:val="FootnoteReference"/>
          <w:rFonts w:ascii="Segoe UI" w:hAnsi="Segoe UI" w:cs="Segoe UI"/>
        </w:rPr>
        <w:footnoteReference w:id="17"/>
      </w:r>
      <w:r w:rsidRPr="002F3DE5">
        <w:rPr>
          <w:rFonts w:ascii="Segoe UI" w:hAnsi="Segoe UI" w:cs="Segoe UI"/>
        </w:rPr>
        <w:t xml:space="preserve"> Compared to other data sources, PatentsView affords two major advantages for studying government interest patents. First, it contains extracted and cleaned data on the US government organizations that fund government interest patents, which allows for studying trends in the source of funding over time. Second, PatentsView contains disambiguated data on inventors and patent-holding firms, universities and other entities, commonly called “assignees”. With disambiguated data, we can identify the individual inventors and assignees that have received federal R&amp;D funding and study their productivity over time and in comparison to counterparts not receiving federal funding. </w:t>
      </w:r>
    </w:p>
    <w:p w14:paraId="4533825B" w14:textId="77777777" w:rsidR="00C5172F" w:rsidRPr="002F3DE5" w:rsidRDefault="00C5172F" w:rsidP="00C5172F">
      <w:pPr>
        <w:rPr>
          <w:rFonts w:ascii="Segoe UI" w:hAnsi="Segoe UI" w:cs="Segoe UI"/>
        </w:rPr>
      </w:pPr>
      <w:r w:rsidRPr="002F3DE5">
        <w:rPr>
          <w:rFonts w:ascii="Segoe UI" w:hAnsi="Segoe UI" w:cs="Segoe UI"/>
        </w:rPr>
        <w:t xml:space="preserve">In “raw” form, the government interest statement is a plain text statement that appears on the front of the patent grant document. </w:t>
      </w:r>
      <w:r w:rsidR="00246076">
        <w:rPr>
          <w:rFonts w:ascii="Segoe UI" w:hAnsi="Segoe UI" w:cs="Segoe UI"/>
        </w:rPr>
        <w:t>Box</w:t>
      </w:r>
      <w:r w:rsidR="00246076" w:rsidRPr="002F3DE5">
        <w:rPr>
          <w:rFonts w:ascii="Segoe UI" w:hAnsi="Segoe UI" w:cs="Segoe UI"/>
        </w:rPr>
        <w:t xml:space="preserve"> </w:t>
      </w:r>
      <w:r w:rsidRPr="002F3DE5">
        <w:rPr>
          <w:rFonts w:ascii="Segoe UI" w:hAnsi="Segoe UI" w:cs="Segoe UI"/>
        </w:rPr>
        <w:t>1 provides an example of a “raw” government interest statement.</w:t>
      </w:r>
      <w:r w:rsidRPr="002F3DE5">
        <w:rPr>
          <w:rStyle w:val="FootnoteReference"/>
          <w:rFonts w:ascii="Segoe UI" w:hAnsi="Segoe UI" w:cs="Segoe UI"/>
        </w:rPr>
        <w:footnoteReference w:id="18"/>
      </w:r>
      <w:r w:rsidRPr="002F3DE5">
        <w:rPr>
          <w:rFonts w:ascii="Segoe UI" w:hAnsi="Segoe UI" w:cs="Segoe UI"/>
        </w:rPr>
        <w:t xml:space="preserve"> </w:t>
      </w:r>
    </w:p>
    <w:p w14:paraId="641CB1CD" w14:textId="77777777" w:rsidR="00C5172F" w:rsidRPr="002F3DE5" w:rsidRDefault="00C5172F" w:rsidP="00C5172F">
      <w:pPr>
        <w:rPr>
          <w:rFonts w:ascii="Segoe UI" w:hAnsi="Segoe UI" w:cs="Segoe UI"/>
        </w:rPr>
      </w:pPr>
      <w:r w:rsidRPr="002F3DE5">
        <w:rPr>
          <w:rFonts w:ascii="Segoe UI" w:hAnsi="Segoe UI" w:cs="Segoe UI"/>
          <w:b/>
        </w:rPr>
        <w:t>Box 1</w:t>
      </w:r>
      <w:r w:rsidRPr="002F3DE5">
        <w:rPr>
          <w:rFonts w:ascii="Segoe UI" w:hAnsi="Segoe UI" w:cs="Segoe UI"/>
        </w:rPr>
        <w:t>: Raw government interest statement</w:t>
      </w:r>
    </w:p>
    <w:p w14:paraId="3BDDF005" w14:textId="77777777" w:rsidR="00C5172F" w:rsidRPr="002F3DE5" w:rsidRDefault="00C5172F" w:rsidP="00C5172F">
      <w:pPr>
        <w:ind w:left="720"/>
        <w:rPr>
          <w:rFonts w:ascii="Segoe UI" w:hAnsi="Segoe UI" w:cs="Segoe UI"/>
        </w:rPr>
      </w:pPr>
      <w:r w:rsidRPr="002F3DE5">
        <w:rPr>
          <w:rFonts w:ascii="Segoe UI" w:hAnsi="Segoe UI" w:cs="Segoe UI"/>
        </w:rPr>
        <w:t>This invention was made with United States Government support under Contract No. 04-03-CA-70224 awarded by the Department of Energy and Contract No. DE-AC36-08GO28308 between the United States Department of Energy and the Alliance for Sustainable Energy, LLC, the Manager and Operator of the National Renewable Energy Laboratory. The U.S. Government has certain rights in this invention.</w:t>
      </w:r>
    </w:p>
    <w:p w14:paraId="4C4DD4E5" w14:textId="77777777" w:rsidR="00C5172F" w:rsidRPr="002F3DE5" w:rsidRDefault="00C5172F" w:rsidP="00C5172F">
      <w:pPr>
        <w:rPr>
          <w:rFonts w:ascii="Segoe UI" w:hAnsi="Segoe UI" w:cs="Segoe UI"/>
        </w:rPr>
      </w:pPr>
      <w:r w:rsidRPr="002F3DE5">
        <w:rPr>
          <w:rFonts w:ascii="Segoe UI" w:hAnsi="Segoe UI" w:cs="Segoe UI"/>
        </w:rPr>
        <w:t>PatentsView uses machine learning techniques to identify and extract the sponsoring government organizations and grant or contract numbers from the “raw” government interest statements. It applies Named Entity Recognition</w:t>
      </w:r>
      <w:r w:rsidRPr="002F3DE5">
        <w:rPr>
          <w:rStyle w:val="FootnoteReference"/>
          <w:rFonts w:ascii="Segoe UI" w:hAnsi="Segoe UI" w:cs="Segoe UI"/>
        </w:rPr>
        <w:footnoteReference w:id="19"/>
      </w:r>
      <w:r w:rsidRPr="002F3DE5">
        <w:rPr>
          <w:rFonts w:ascii="Segoe UI" w:hAnsi="Segoe UI" w:cs="Segoe UI"/>
        </w:rPr>
        <w:t xml:space="preserve"> to identify sponsoring organizations and a regular expression-based algorithm to identify contract and grant numbers.  </w:t>
      </w:r>
      <w:r w:rsidR="00246076">
        <w:rPr>
          <w:rFonts w:ascii="Segoe UI" w:hAnsi="Segoe UI" w:cs="Segoe UI"/>
        </w:rPr>
        <w:t>Box</w:t>
      </w:r>
      <w:r w:rsidR="00246076" w:rsidRPr="002F3DE5">
        <w:rPr>
          <w:rFonts w:ascii="Segoe UI" w:hAnsi="Segoe UI" w:cs="Segoe UI"/>
        </w:rPr>
        <w:t xml:space="preserve"> </w:t>
      </w:r>
      <w:r w:rsidRPr="002F3DE5">
        <w:rPr>
          <w:rFonts w:ascii="Segoe UI" w:hAnsi="Segoe UI" w:cs="Segoe UI"/>
        </w:rPr>
        <w:t>2 illustrates the results of applying these techniques to identify organizations and contract numbers from the “raw” government interest statement</w:t>
      </w:r>
      <w:r w:rsidR="00246076">
        <w:rPr>
          <w:rFonts w:ascii="Segoe UI" w:hAnsi="Segoe UI" w:cs="Segoe UI"/>
        </w:rPr>
        <w:t xml:space="preserve"> in Box 1</w:t>
      </w:r>
      <w:r w:rsidRPr="002F3DE5">
        <w:rPr>
          <w:rFonts w:ascii="Segoe UI" w:hAnsi="Segoe UI" w:cs="Segoe UI"/>
        </w:rPr>
        <w:t xml:space="preserve">. </w:t>
      </w:r>
    </w:p>
    <w:p w14:paraId="60ED304D" w14:textId="77777777" w:rsidR="00C5172F" w:rsidRPr="002F3DE5" w:rsidRDefault="00C5172F" w:rsidP="00C5172F">
      <w:pPr>
        <w:rPr>
          <w:rFonts w:ascii="Segoe UI" w:hAnsi="Segoe UI" w:cs="Segoe UI"/>
        </w:rPr>
      </w:pPr>
      <w:r w:rsidRPr="002F3DE5">
        <w:rPr>
          <w:rFonts w:ascii="Segoe UI" w:hAnsi="Segoe UI" w:cs="Segoe UI"/>
          <w:b/>
        </w:rPr>
        <w:t>Box 2</w:t>
      </w:r>
      <w:r w:rsidRPr="002F3DE5">
        <w:rPr>
          <w:rFonts w:ascii="Segoe UI" w:hAnsi="Segoe UI" w:cs="Segoe UI"/>
        </w:rPr>
        <w:t xml:space="preserve">: Parsed government interest statement </w:t>
      </w:r>
    </w:p>
    <w:p w14:paraId="0662F562" w14:textId="77777777" w:rsidR="00C5172F" w:rsidRPr="002F3DE5" w:rsidRDefault="00C5172F" w:rsidP="00C5172F">
      <w:pPr>
        <w:ind w:left="720"/>
        <w:rPr>
          <w:rFonts w:ascii="Segoe UI" w:hAnsi="Segoe UI" w:cs="Segoe UI"/>
        </w:rPr>
      </w:pPr>
      <w:r w:rsidRPr="002F3DE5">
        <w:rPr>
          <w:rFonts w:ascii="Segoe UI" w:hAnsi="Segoe UI" w:cs="Segoe UI"/>
        </w:rPr>
        <w:t xml:space="preserve">The invention was made with </w:t>
      </w:r>
      <w:r w:rsidRPr="002F3DE5">
        <w:rPr>
          <w:rFonts w:ascii="Segoe UI" w:hAnsi="Segoe UI" w:cs="Segoe UI"/>
          <w:color w:val="7E7E7E"/>
        </w:rPr>
        <w:t>&lt;ORGANIZATION&gt;</w:t>
      </w:r>
      <w:r w:rsidRPr="002F3DE5">
        <w:rPr>
          <w:rFonts w:ascii="Segoe UI" w:hAnsi="Segoe UI" w:cs="Segoe UI"/>
          <w:color w:val="4A769F"/>
        </w:rPr>
        <w:t>United States Government</w:t>
      </w:r>
      <w:r w:rsidRPr="002F3DE5">
        <w:rPr>
          <w:rFonts w:ascii="Segoe UI" w:hAnsi="Segoe UI" w:cs="Segoe UI"/>
          <w:color w:val="7E7E7E"/>
        </w:rPr>
        <w:t xml:space="preserve">&lt;/ORGANIZATION&gt; </w:t>
      </w:r>
      <w:r w:rsidRPr="002F3DE5">
        <w:rPr>
          <w:rFonts w:ascii="Segoe UI" w:hAnsi="Segoe UI" w:cs="Segoe UI"/>
        </w:rPr>
        <w:t xml:space="preserve">support under </w:t>
      </w:r>
      <w:r w:rsidRPr="002F3DE5">
        <w:rPr>
          <w:rFonts w:ascii="Segoe UI" w:hAnsi="Segoe UI" w:cs="Segoe UI"/>
          <w:color w:val="FF0000"/>
        </w:rPr>
        <w:t xml:space="preserve">Contract No. 04-03-CA-70224 </w:t>
      </w:r>
      <w:r w:rsidRPr="002F3DE5">
        <w:rPr>
          <w:rFonts w:ascii="Segoe UI" w:hAnsi="Segoe UI" w:cs="Segoe UI"/>
        </w:rPr>
        <w:t xml:space="preserve">awarded by the </w:t>
      </w:r>
      <w:r w:rsidRPr="002F3DE5">
        <w:rPr>
          <w:rFonts w:ascii="Segoe UI" w:hAnsi="Segoe UI" w:cs="Segoe UI"/>
          <w:color w:val="7E7E7E"/>
        </w:rPr>
        <w:t>&lt;ORGANIZATION&gt;</w:t>
      </w:r>
      <w:r w:rsidRPr="002F3DE5">
        <w:rPr>
          <w:rFonts w:ascii="Segoe UI" w:hAnsi="Segoe UI" w:cs="Segoe UI"/>
        </w:rPr>
        <w:t>Department of Energy</w:t>
      </w:r>
      <w:r w:rsidRPr="002F3DE5">
        <w:rPr>
          <w:rFonts w:ascii="Segoe UI" w:hAnsi="Segoe UI" w:cs="Segoe UI"/>
          <w:color w:val="7E7E7E"/>
        </w:rPr>
        <w:t>&lt;/ORGANIZATION&gt;</w:t>
      </w:r>
      <w:r w:rsidRPr="002F3DE5">
        <w:rPr>
          <w:rFonts w:ascii="Segoe UI" w:hAnsi="Segoe UI" w:cs="Segoe UI"/>
        </w:rPr>
        <w:t xml:space="preserve"> and Contract No. </w:t>
      </w:r>
      <w:r w:rsidRPr="002F3DE5">
        <w:rPr>
          <w:rFonts w:ascii="Segoe UI" w:hAnsi="Segoe UI" w:cs="Segoe UI"/>
          <w:color w:val="FF0000"/>
        </w:rPr>
        <w:t xml:space="preserve">DE-AC36-08GO28308 </w:t>
      </w:r>
      <w:r w:rsidRPr="002F3DE5">
        <w:rPr>
          <w:rFonts w:ascii="Segoe UI" w:hAnsi="Segoe UI" w:cs="Segoe UI"/>
        </w:rPr>
        <w:t xml:space="preserve">between the </w:t>
      </w:r>
      <w:r w:rsidRPr="002F3DE5">
        <w:rPr>
          <w:rFonts w:ascii="Segoe UI" w:hAnsi="Segoe UI" w:cs="Segoe UI"/>
          <w:color w:val="7E7E7E"/>
        </w:rPr>
        <w:t>&lt;ORGANIZATION&gt;</w:t>
      </w:r>
      <w:r w:rsidRPr="002F3DE5">
        <w:rPr>
          <w:rFonts w:ascii="Segoe UI" w:hAnsi="Segoe UI" w:cs="Segoe UI"/>
          <w:color w:val="4A769F"/>
        </w:rPr>
        <w:t>United States Department of Energy</w:t>
      </w:r>
      <w:r w:rsidRPr="002F3DE5">
        <w:rPr>
          <w:rFonts w:ascii="Segoe UI" w:hAnsi="Segoe UI" w:cs="Segoe UI"/>
          <w:color w:val="7E7E7E"/>
        </w:rPr>
        <w:t xml:space="preserve">&lt;/ORGANIZATION&gt; </w:t>
      </w:r>
      <w:r w:rsidRPr="002F3DE5">
        <w:rPr>
          <w:rFonts w:ascii="Segoe UI" w:hAnsi="Segoe UI" w:cs="Segoe UI"/>
        </w:rPr>
        <w:t xml:space="preserve">and the </w:t>
      </w:r>
      <w:r w:rsidRPr="002F3DE5">
        <w:rPr>
          <w:rFonts w:ascii="Segoe UI" w:hAnsi="Segoe UI" w:cs="Segoe UI"/>
          <w:color w:val="7E7E7E"/>
        </w:rPr>
        <w:t>&lt;ORGANIZATION&gt;</w:t>
      </w:r>
      <w:r w:rsidRPr="002F3DE5">
        <w:rPr>
          <w:rFonts w:ascii="Segoe UI" w:hAnsi="Segoe UI" w:cs="Segoe UI"/>
          <w:color w:val="4A769F"/>
        </w:rPr>
        <w:t>Alliance for Sustainable Energy</w:t>
      </w:r>
      <w:r w:rsidRPr="002F3DE5">
        <w:rPr>
          <w:rFonts w:ascii="Segoe UI" w:hAnsi="Segoe UI" w:cs="Segoe UI"/>
          <w:color w:val="7E7E7E"/>
        </w:rPr>
        <w:t>&lt;/ORGANIZATION&gt;</w:t>
      </w:r>
      <w:r w:rsidRPr="002F3DE5">
        <w:rPr>
          <w:rFonts w:ascii="Segoe UI" w:hAnsi="Segoe UI" w:cs="Segoe UI"/>
        </w:rPr>
        <w:t xml:space="preserve">, </w:t>
      </w:r>
      <w:r w:rsidRPr="002F3DE5">
        <w:rPr>
          <w:rFonts w:ascii="Segoe UI" w:hAnsi="Segoe UI" w:cs="Segoe UI"/>
          <w:color w:val="7E7E7E"/>
        </w:rPr>
        <w:t>&lt;ORGANIZATION&gt;</w:t>
      </w:r>
      <w:r w:rsidRPr="002F3DE5">
        <w:rPr>
          <w:rFonts w:ascii="Segoe UI" w:hAnsi="Segoe UI" w:cs="Segoe UI"/>
          <w:color w:val="4A769F"/>
        </w:rPr>
        <w:t>LLC</w:t>
      </w:r>
      <w:r w:rsidRPr="002F3DE5">
        <w:rPr>
          <w:rFonts w:ascii="Segoe UI" w:hAnsi="Segoe UI" w:cs="Segoe UI"/>
          <w:color w:val="7E7E7E"/>
        </w:rPr>
        <w:t>&lt;/ORGANIZATION&gt;</w:t>
      </w:r>
      <w:r w:rsidRPr="002F3DE5">
        <w:rPr>
          <w:rFonts w:ascii="Segoe UI" w:hAnsi="Segoe UI" w:cs="Segoe UI"/>
        </w:rPr>
        <w:t xml:space="preserve">, the Manager and Operator of the </w:t>
      </w:r>
      <w:r w:rsidRPr="002F3DE5">
        <w:rPr>
          <w:rFonts w:ascii="Segoe UI" w:hAnsi="Segoe UI" w:cs="Segoe UI"/>
          <w:color w:val="7E7E7E"/>
        </w:rPr>
        <w:t>&lt;ORGANIZATION&gt;</w:t>
      </w:r>
      <w:r w:rsidRPr="002F3DE5">
        <w:rPr>
          <w:rFonts w:ascii="Segoe UI" w:hAnsi="Segoe UI" w:cs="Segoe UI"/>
          <w:color w:val="4A769F"/>
        </w:rPr>
        <w:t>National Renewable Energy Laboratory</w:t>
      </w:r>
      <w:r w:rsidRPr="002F3DE5">
        <w:rPr>
          <w:rFonts w:ascii="Segoe UI" w:hAnsi="Segoe UI" w:cs="Segoe UI"/>
          <w:color w:val="7E7E7E"/>
        </w:rPr>
        <w:t>&lt;/ORGANIZATION&gt;</w:t>
      </w:r>
      <w:r w:rsidRPr="002F3DE5">
        <w:rPr>
          <w:rFonts w:ascii="Segoe UI" w:hAnsi="Segoe UI" w:cs="Segoe UI"/>
        </w:rPr>
        <w:t xml:space="preserve">. The </w:t>
      </w:r>
      <w:r w:rsidRPr="002F3DE5">
        <w:rPr>
          <w:rFonts w:ascii="Segoe UI" w:hAnsi="Segoe UI" w:cs="Segoe UI"/>
          <w:color w:val="7E7E7E"/>
        </w:rPr>
        <w:t>&lt;ORGANIZATION&gt;</w:t>
      </w:r>
      <w:r w:rsidRPr="002F3DE5">
        <w:rPr>
          <w:rFonts w:ascii="Segoe UI" w:hAnsi="Segoe UI" w:cs="Segoe UI"/>
          <w:color w:val="4A769F"/>
        </w:rPr>
        <w:t>U.S. Government</w:t>
      </w:r>
      <w:r w:rsidRPr="002F3DE5">
        <w:rPr>
          <w:rFonts w:ascii="Segoe UI" w:hAnsi="Segoe UI" w:cs="Segoe UI"/>
          <w:color w:val="7E7E7E"/>
        </w:rPr>
        <w:t>&lt;/ORGANIZATION&gt;</w:t>
      </w:r>
      <w:r w:rsidRPr="002F3DE5">
        <w:rPr>
          <w:rFonts w:ascii="Segoe UI" w:hAnsi="Segoe UI" w:cs="Segoe UI"/>
        </w:rPr>
        <w:t xml:space="preserve"> has certain rights in this invention.</w:t>
      </w:r>
    </w:p>
    <w:p w14:paraId="1D6C6A4C" w14:textId="77777777" w:rsidR="00C5172F" w:rsidRPr="002F3DE5" w:rsidRDefault="00C5172F" w:rsidP="00C5172F">
      <w:pPr>
        <w:pStyle w:val="NoSpacing"/>
        <w:ind w:left="720"/>
        <w:rPr>
          <w:rFonts w:ascii="Segoe UI" w:hAnsi="Segoe UI" w:cs="Segoe UI"/>
        </w:rPr>
      </w:pPr>
      <w:r w:rsidRPr="002F3DE5">
        <w:rPr>
          <w:rFonts w:ascii="Segoe UI" w:hAnsi="Segoe UI" w:cs="Segoe UI"/>
        </w:rPr>
        <w:t xml:space="preserve">Government Organization(s) </w:t>
      </w:r>
      <w:r w:rsidRPr="002F3DE5">
        <w:rPr>
          <w:rFonts w:ascii="Segoe UI" w:hAnsi="Segoe UI" w:cs="Segoe UI"/>
        </w:rPr>
        <w:tab/>
      </w:r>
      <w:r w:rsidRPr="002F3DE5">
        <w:rPr>
          <w:rFonts w:ascii="Segoe UI" w:hAnsi="Segoe UI" w:cs="Segoe UI"/>
        </w:rPr>
        <w:tab/>
      </w:r>
      <w:r w:rsidRPr="002F3DE5">
        <w:rPr>
          <w:rFonts w:ascii="Segoe UI" w:hAnsi="Segoe UI" w:cs="Segoe UI"/>
        </w:rPr>
        <w:tab/>
      </w:r>
      <w:r w:rsidRPr="002F3DE5">
        <w:rPr>
          <w:rFonts w:ascii="Segoe UI" w:hAnsi="Segoe UI" w:cs="Segoe UI"/>
        </w:rPr>
        <w:tab/>
        <w:t xml:space="preserve">Grant/Contract Award Number(s) </w:t>
      </w:r>
    </w:p>
    <w:p w14:paraId="6336BA34" w14:textId="77777777" w:rsidR="00C5172F" w:rsidRPr="002F3DE5" w:rsidRDefault="00C5172F" w:rsidP="00C5172F">
      <w:pPr>
        <w:pStyle w:val="NoSpacing"/>
        <w:ind w:left="720"/>
        <w:rPr>
          <w:rFonts w:ascii="Segoe UI" w:hAnsi="Segoe UI" w:cs="Segoe UI"/>
        </w:rPr>
      </w:pPr>
      <w:r w:rsidRPr="002F3DE5">
        <w:rPr>
          <w:rFonts w:ascii="Segoe UI" w:hAnsi="Segoe UI" w:cs="Segoe UI"/>
        </w:rPr>
        <w:t>Department of Energy (DOE)</w:t>
      </w:r>
      <w:r w:rsidRPr="002F3DE5">
        <w:rPr>
          <w:rFonts w:ascii="Segoe UI" w:hAnsi="Segoe UI" w:cs="Segoe UI"/>
        </w:rPr>
        <w:tab/>
      </w:r>
      <w:r w:rsidRPr="002F3DE5">
        <w:rPr>
          <w:rFonts w:ascii="Segoe UI" w:hAnsi="Segoe UI" w:cs="Segoe UI"/>
        </w:rPr>
        <w:tab/>
      </w:r>
      <w:r w:rsidRPr="002F3DE5">
        <w:rPr>
          <w:rFonts w:ascii="Segoe UI" w:hAnsi="Segoe UI" w:cs="Segoe UI"/>
        </w:rPr>
        <w:tab/>
      </w:r>
      <w:r w:rsidRPr="002F3DE5">
        <w:rPr>
          <w:rFonts w:ascii="Segoe UI" w:hAnsi="Segoe UI" w:cs="Segoe UI"/>
        </w:rPr>
        <w:tab/>
        <w:t xml:space="preserve">04-03-CA-70224 </w:t>
      </w:r>
    </w:p>
    <w:p w14:paraId="45923981" w14:textId="77777777" w:rsidR="00C5172F" w:rsidRPr="002F3DE5" w:rsidRDefault="00C5172F" w:rsidP="00C5172F">
      <w:pPr>
        <w:pStyle w:val="NoSpacing"/>
        <w:ind w:left="720"/>
        <w:rPr>
          <w:rFonts w:ascii="Segoe UI" w:hAnsi="Segoe UI" w:cs="Segoe UI"/>
        </w:rPr>
      </w:pPr>
      <w:r w:rsidRPr="002F3DE5">
        <w:rPr>
          <w:rFonts w:ascii="Segoe UI" w:hAnsi="Segoe UI" w:cs="Segoe UI"/>
        </w:rPr>
        <w:t>National Renewable Energy Laboratory</w:t>
      </w:r>
      <w:r w:rsidR="00246076">
        <w:rPr>
          <w:rFonts w:ascii="Segoe UI" w:hAnsi="Segoe UI" w:cs="Segoe UI"/>
        </w:rPr>
        <w:t xml:space="preserve"> </w:t>
      </w:r>
      <w:r w:rsidRPr="002F3DE5">
        <w:rPr>
          <w:rFonts w:ascii="Segoe UI" w:hAnsi="Segoe UI" w:cs="Segoe UI"/>
        </w:rPr>
        <w:t>(NREL)</w:t>
      </w:r>
      <w:r w:rsidRPr="002F3DE5">
        <w:rPr>
          <w:rFonts w:ascii="Segoe UI" w:hAnsi="Segoe UI" w:cs="Segoe UI"/>
        </w:rPr>
        <w:tab/>
        <w:t>DE-AC36-08GO28308</w:t>
      </w:r>
    </w:p>
    <w:p w14:paraId="15B4D0D3" w14:textId="77777777" w:rsidR="00C5172F" w:rsidRPr="002F3DE5" w:rsidRDefault="00C5172F" w:rsidP="00C5172F">
      <w:pPr>
        <w:rPr>
          <w:rFonts w:ascii="Segoe UI" w:hAnsi="Segoe UI" w:cs="Segoe UI"/>
        </w:rPr>
      </w:pPr>
    </w:p>
    <w:p w14:paraId="54BBE2A7" w14:textId="77777777" w:rsidR="00C5172F" w:rsidRPr="002F3DE5" w:rsidRDefault="00C5172F" w:rsidP="00C5172F">
      <w:pPr>
        <w:rPr>
          <w:rFonts w:ascii="Segoe UI" w:hAnsi="Segoe UI" w:cs="Segoe UI"/>
        </w:rPr>
      </w:pPr>
      <w:r w:rsidRPr="002F3DE5">
        <w:rPr>
          <w:rFonts w:ascii="Segoe UI" w:hAnsi="Segoe UI" w:cs="Segoe UI"/>
        </w:rPr>
        <w:t xml:space="preserve">PatentsView uses a master list of over 300 government agency name and acronym variations to distinguish the Federal government organizations from other organizations that may appear in the raw government interest statement (e.g. Alliance for Sustainable Energy, LLC). This also resolves misspellings and reconciles organization name variation and returns a single cleaned organization name (e.g. Department of Energy (DOE)) for each government entity appearing in the raw text.  </w:t>
      </w:r>
    </w:p>
    <w:p w14:paraId="46F2FCC1" w14:textId="77777777" w:rsidR="002D3FE9" w:rsidRDefault="00C5172F" w:rsidP="00C5172F">
      <w:pPr>
        <w:rPr>
          <w:rFonts w:ascii="Segoe UI" w:hAnsi="Segoe UI" w:cs="Segoe UI"/>
        </w:rPr>
      </w:pPr>
      <w:r w:rsidRPr="002F3DE5">
        <w:rPr>
          <w:rFonts w:ascii="Segoe UI" w:hAnsi="Segoe UI" w:cs="Segoe UI"/>
        </w:rPr>
        <w:t xml:space="preserve">Not all government-funded patents include a government interest statement.  While applicants are required to include a government interest statement under Bayh-Dole, the requirement is not uniformly adopted or enforced across </w:t>
      </w:r>
      <w:r w:rsidR="00246076">
        <w:rPr>
          <w:rFonts w:ascii="Segoe UI" w:hAnsi="Segoe UI" w:cs="Segoe UI"/>
        </w:rPr>
        <w:t>f</w:t>
      </w:r>
      <w:r w:rsidRPr="002F3DE5">
        <w:rPr>
          <w:rFonts w:ascii="Segoe UI" w:hAnsi="Segoe UI" w:cs="Segoe UI"/>
        </w:rPr>
        <w:t>ederal agencies or over time.</w:t>
      </w:r>
      <w:r w:rsidRPr="002F3DE5">
        <w:rPr>
          <w:rStyle w:val="FootnoteReference"/>
          <w:rFonts w:ascii="Segoe UI" w:hAnsi="Segoe UI" w:cs="Segoe UI"/>
        </w:rPr>
        <w:footnoteReference w:id="20"/>
      </w:r>
      <w:r w:rsidRPr="002F3DE5">
        <w:rPr>
          <w:rFonts w:ascii="Segoe UI" w:hAnsi="Segoe UI" w:cs="Segoe UI"/>
        </w:rPr>
        <w:t xml:space="preserve"> This may introduce some selection bias as our analysis only captures those patents for which a government interest is disclosed on the patent. </w:t>
      </w:r>
      <w:r w:rsidR="002D3FE9">
        <w:rPr>
          <w:rFonts w:ascii="Segoe UI" w:hAnsi="Segoe UI" w:cs="Segoe UI"/>
        </w:rPr>
        <w:t>Despite this limitation</w:t>
      </w:r>
      <w:r w:rsidRPr="002F3DE5">
        <w:rPr>
          <w:rFonts w:ascii="Segoe UI" w:hAnsi="Segoe UI" w:cs="Segoe UI"/>
        </w:rPr>
        <w:t xml:space="preserve">, </w:t>
      </w:r>
      <w:r w:rsidR="002D3FE9">
        <w:rPr>
          <w:rFonts w:ascii="Segoe UI" w:hAnsi="Segoe UI" w:cs="Segoe UI"/>
        </w:rPr>
        <w:t xml:space="preserve">PatentsView provides an accessible and high-quality source to facilitate the study of the impact of federal funding on invention outcomes. </w:t>
      </w:r>
    </w:p>
    <w:p w14:paraId="72D75B04" w14:textId="77777777" w:rsidR="00C5172F" w:rsidRPr="002F3DE5" w:rsidRDefault="00C5172F" w:rsidP="00C5172F">
      <w:pPr>
        <w:rPr>
          <w:rFonts w:ascii="Segoe UI" w:hAnsi="Segoe UI" w:cs="Segoe UI"/>
        </w:rPr>
      </w:pPr>
      <w:r w:rsidRPr="002F3DE5">
        <w:rPr>
          <w:rFonts w:ascii="Segoe UI" w:hAnsi="Segoe UI" w:cs="Segoe UI"/>
        </w:rPr>
        <w:t xml:space="preserve">Additionally, patents resulting from intramural R&amp;D funding or contracts between </w:t>
      </w:r>
      <w:r w:rsidR="00246076">
        <w:rPr>
          <w:rFonts w:ascii="Segoe UI" w:hAnsi="Segoe UI" w:cs="Segoe UI"/>
        </w:rPr>
        <w:t>f</w:t>
      </w:r>
      <w:r w:rsidRPr="002F3DE5">
        <w:rPr>
          <w:rFonts w:ascii="Segoe UI" w:hAnsi="Segoe UI" w:cs="Segoe UI"/>
        </w:rPr>
        <w:t xml:space="preserve">ederal agencies may not contain a government interest statement as Bayh-Dole may not apply. These “government assigned patents” result from </w:t>
      </w:r>
      <w:r w:rsidR="00246076">
        <w:rPr>
          <w:rFonts w:ascii="Segoe UI" w:hAnsi="Segoe UI" w:cs="Segoe UI"/>
        </w:rPr>
        <w:t>f</w:t>
      </w:r>
      <w:r w:rsidRPr="002F3DE5">
        <w:rPr>
          <w:rFonts w:ascii="Segoe UI" w:hAnsi="Segoe UI" w:cs="Segoe UI"/>
        </w:rPr>
        <w:t xml:space="preserve">ederal R&amp;D funding but reflect technology developed within or across agencies and provide an interesting comparison group to government interest patents. Note, however, that some patents constitute both government interest and government assigned.  </w:t>
      </w:r>
    </w:p>
    <w:p w14:paraId="4ACB9FAA" w14:textId="77777777" w:rsidR="00C5172F" w:rsidRDefault="00C5172F" w:rsidP="00C5172F">
      <w:pPr>
        <w:rPr>
          <w:rFonts w:ascii="Segoe UI" w:hAnsi="Segoe UI" w:cs="Segoe UI"/>
        </w:rPr>
      </w:pPr>
      <w:r w:rsidRPr="002F3DE5">
        <w:rPr>
          <w:rFonts w:ascii="Segoe UI" w:hAnsi="Segoe UI" w:cs="Segoe UI"/>
        </w:rPr>
        <w:t>Ou</w:t>
      </w:r>
      <w:r w:rsidR="00AE7B24">
        <w:rPr>
          <w:rFonts w:ascii="Segoe UI" w:hAnsi="Segoe UI" w:cs="Segoe UI"/>
        </w:rPr>
        <w:t>r final sample includes 1</w:t>
      </w:r>
      <w:r w:rsidR="00AE7B24" w:rsidRPr="0072496A">
        <w:rPr>
          <w:rFonts w:ascii="Segoe UI" w:hAnsi="Segoe UI" w:cs="Segoe UI"/>
        </w:rPr>
        <w:t>14,669</w:t>
      </w:r>
      <w:r w:rsidRPr="0072496A">
        <w:rPr>
          <w:rFonts w:ascii="Segoe UI" w:hAnsi="Segoe UI" w:cs="Segoe UI"/>
        </w:rPr>
        <w:t xml:space="preserve"> government</w:t>
      </w:r>
      <w:r w:rsidR="00AE7B24" w:rsidRPr="0072496A">
        <w:rPr>
          <w:rFonts w:ascii="Segoe UI" w:hAnsi="Segoe UI" w:cs="Segoe UI"/>
        </w:rPr>
        <w:t xml:space="preserve"> interest patents </w:t>
      </w:r>
      <w:r w:rsidRPr="0072496A">
        <w:rPr>
          <w:rFonts w:ascii="Segoe UI" w:hAnsi="Segoe UI" w:cs="Segoe UI"/>
        </w:rPr>
        <w:t xml:space="preserve">issued from 1980 to </w:t>
      </w:r>
      <w:r w:rsidR="00AE7B24" w:rsidRPr="0072496A">
        <w:rPr>
          <w:rFonts w:ascii="Segoe UI" w:hAnsi="Segoe UI" w:cs="Segoe UI"/>
        </w:rPr>
        <w:t>201</w:t>
      </w:r>
      <w:r w:rsidR="00246076">
        <w:rPr>
          <w:rFonts w:ascii="Segoe UI" w:hAnsi="Segoe UI" w:cs="Segoe UI"/>
        </w:rPr>
        <w:t>7</w:t>
      </w:r>
      <w:r w:rsidRPr="0072496A">
        <w:rPr>
          <w:rFonts w:ascii="Segoe UI" w:hAnsi="Segoe UI" w:cs="Segoe UI"/>
        </w:rPr>
        <w:t xml:space="preserve">. </w:t>
      </w:r>
    </w:p>
    <w:p w14:paraId="00B9164D" w14:textId="77777777" w:rsidR="002D3FE9" w:rsidRDefault="002D3FE9" w:rsidP="00C5172F">
      <w:pPr>
        <w:rPr>
          <w:rFonts w:ascii="Segoe UI" w:hAnsi="Segoe UI" w:cs="Segoe UI"/>
        </w:rPr>
      </w:pPr>
      <w:r>
        <w:rPr>
          <w:rFonts w:ascii="Segoe UI" w:hAnsi="Segoe UI" w:cs="Segoe UI"/>
        </w:rPr>
        <w:t xml:space="preserve">Funding data for overall Federal R&amp;D expenditures come from </w:t>
      </w:r>
      <w:r w:rsidR="00B96207">
        <w:rPr>
          <w:rFonts w:ascii="Segoe UI" w:hAnsi="Segoe UI" w:cs="Segoe UI"/>
        </w:rPr>
        <w:t xml:space="preserve">the American Association for the Advancement of Society (AAAS) at </w:t>
      </w:r>
      <w:hyperlink r:id="rId23" w:anchor="Agency" w:history="1">
        <w:r w:rsidR="00B96207" w:rsidRPr="00312439">
          <w:rPr>
            <w:rStyle w:val="Hyperlink"/>
            <w:rFonts w:ascii="Segoe UI" w:hAnsi="Segoe UI" w:cs="Segoe UI"/>
          </w:rPr>
          <w:t>https://www.aaas.org/page/historical-trends-federal-rd#Agency</w:t>
        </w:r>
      </w:hyperlink>
      <w:r>
        <w:rPr>
          <w:rFonts w:ascii="Segoe UI" w:hAnsi="Segoe UI" w:cs="Segoe UI"/>
        </w:rPr>
        <w:t>.</w:t>
      </w:r>
      <w:r w:rsidR="00B96207">
        <w:rPr>
          <w:rFonts w:ascii="Segoe UI" w:hAnsi="Segoe UI" w:cs="Segoe UI"/>
        </w:rPr>
        <w:t xml:space="preserve"> </w:t>
      </w:r>
      <w:r>
        <w:rPr>
          <w:rFonts w:ascii="Segoe UI" w:hAnsi="Segoe UI" w:cs="Segoe UI"/>
        </w:rPr>
        <w:t xml:space="preserve"> Federal intramural and extramural applied research expenditures and overall US applied research expen</w:t>
      </w:r>
      <w:r w:rsidR="00B96207">
        <w:rPr>
          <w:rFonts w:ascii="Segoe UI" w:hAnsi="Segoe UI" w:cs="Segoe UI"/>
        </w:rPr>
        <w:t xml:space="preserve">ditures are sourced from NSF’s </w:t>
      </w:r>
      <w:r w:rsidR="00B96207" w:rsidRPr="00B96207">
        <w:rPr>
          <w:rFonts w:ascii="Segoe UI" w:hAnsi="Segoe UI" w:cs="Segoe UI"/>
        </w:rPr>
        <w:t>National Patterns of R&amp;D Resources: 2014–15 Data Update</w:t>
      </w:r>
      <w:r w:rsidR="00B96207">
        <w:rPr>
          <w:rFonts w:ascii="Segoe UI" w:hAnsi="Segoe UI" w:cs="Segoe UI"/>
        </w:rPr>
        <w:t xml:space="preserve"> available at </w:t>
      </w:r>
      <w:hyperlink r:id="rId24" w:anchor="chp2" w:history="1">
        <w:r w:rsidR="00B96207" w:rsidRPr="00312439">
          <w:rPr>
            <w:rStyle w:val="Hyperlink"/>
            <w:rFonts w:ascii="Segoe UI" w:hAnsi="Segoe UI" w:cs="Segoe UI"/>
          </w:rPr>
          <w:t>https://www.nsf.gov/statistics/2017/nsf17311/#chp2</w:t>
        </w:r>
      </w:hyperlink>
      <w:r w:rsidR="00B96207">
        <w:rPr>
          <w:rFonts w:ascii="Segoe UI" w:hAnsi="Segoe UI" w:cs="Segoe UI"/>
        </w:rPr>
        <w:t>.</w:t>
      </w:r>
      <w:r>
        <w:rPr>
          <w:rFonts w:ascii="Segoe UI" w:hAnsi="Segoe UI" w:cs="Segoe UI"/>
        </w:rPr>
        <w:t xml:space="preserve"> </w:t>
      </w:r>
    </w:p>
    <w:p w14:paraId="57993DC5" w14:textId="77777777" w:rsidR="00677B67" w:rsidRDefault="00677B67">
      <w:pPr>
        <w:spacing w:after="0" w:line="240" w:lineRule="auto"/>
        <w:rPr>
          <w:rFonts w:ascii="Cambria" w:hAnsi="Cambria" w:cs="Segoe UI"/>
          <w:b/>
          <w:sz w:val="24"/>
          <w:szCs w:val="28"/>
        </w:rPr>
      </w:pPr>
      <w:r>
        <w:rPr>
          <w:rFonts w:ascii="Cambria" w:hAnsi="Cambria" w:cs="Segoe UI"/>
          <w:b/>
          <w:sz w:val="24"/>
          <w:szCs w:val="28"/>
        </w:rPr>
        <w:br w:type="page"/>
      </w:r>
    </w:p>
    <w:p w14:paraId="2CE39871" w14:textId="77777777" w:rsidR="00C5172F" w:rsidRPr="00677B67" w:rsidRDefault="002D3FE9" w:rsidP="00C5172F">
      <w:pPr>
        <w:rPr>
          <w:rFonts w:ascii="Cambria" w:hAnsi="Cambria" w:cs="Segoe UI"/>
          <w:b/>
          <w:sz w:val="28"/>
          <w:szCs w:val="28"/>
        </w:rPr>
      </w:pPr>
      <w:r w:rsidRPr="00677B67">
        <w:rPr>
          <w:rFonts w:ascii="Cambria" w:hAnsi="Cambria" w:cs="Segoe UI"/>
          <w:b/>
          <w:sz w:val="28"/>
          <w:szCs w:val="28"/>
        </w:rPr>
        <w:t xml:space="preserve">Appendix B: </w:t>
      </w:r>
      <w:r w:rsidR="00C5172F" w:rsidRPr="00677B67">
        <w:rPr>
          <w:rFonts w:ascii="Cambria" w:hAnsi="Cambria" w:cs="Segoe UI"/>
          <w:b/>
          <w:sz w:val="28"/>
          <w:szCs w:val="28"/>
        </w:rPr>
        <w:t>Patent growth by year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2550"/>
        <w:gridCol w:w="2550"/>
      </w:tblGrid>
      <w:tr w:rsidR="008C7033" w:rsidRPr="002215BD" w14:paraId="56087B97" w14:textId="77777777" w:rsidTr="00AB5E2B">
        <w:trPr>
          <w:trHeight w:val="315"/>
          <w:jc w:val="center"/>
        </w:trPr>
        <w:tc>
          <w:tcPr>
            <w:tcW w:w="2550" w:type="dxa"/>
            <w:tcBorders>
              <w:top w:val="single" w:sz="4" w:space="0" w:color="auto"/>
              <w:bottom w:val="single" w:sz="4" w:space="0" w:color="auto"/>
            </w:tcBorders>
            <w:noWrap/>
            <w:hideMark/>
          </w:tcPr>
          <w:p w14:paraId="325BFF3E" w14:textId="77777777" w:rsidR="008C7033" w:rsidRPr="002215BD" w:rsidRDefault="008C7033" w:rsidP="00AB5E2B">
            <w:pPr>
              <w:spacing w:after="0" w:line="240" w:lineRule="auto"/>
              <w:rPr>
                <w:b/>
              </w:rPr>
            </w:pPr>
            <w:bookmarkStart w:id="2" w:name="RANGE!A1:B39"/>
            <w:r w:rsidRPr="002215BD">
              <w:rPr>
                <w:b/>
              </w:rPr>
              <w:t>Year</w:t>
            </w:r>
            <w:bookmarkEnd w:id="2"/>
          </w:p>
        </w:tc>
        <w:tc>
          <w:tcPr>
            <w:tcW w:w="2550" w:type="dxa"/>
            <w:tcBorders>
              <w:top w:val="single" w:sz="4" w:space="0" w:color="auto"/>
              <w:bottom w:val="single" w:sz="4" w:space="0" w:color="auto"/>
            </w:tcBorders>
            <w:noWrap/>
            <w:hideMark/>
          </w:tcPr>
          <w:p w14:paraId="0E5BBF59" w14:textId="77777777" w:rsidR="008C7033" w:rsidRPr="002215BD" w:rsidRDefault="008C7033" w:rsidP="00AB5E2B">
            <w:pPr>
              <w:spacing w:after="0" w:line="240" w:lineRule="auto"/>
              <w:rPr>
                <w:b/>
              </w:rPr>
            </w:pPr>
            <w:r w:rsidRPr="002215BD">
              <w:rPr>
                <w:b/>
              </w:rPr>
              <w:t>All patents</w:t>
            </w:r>
          </w:p>
        </w:tc>
        <w:tc>
          <w:tcPr>
            <w:tcW w:w="2550" w:type="dxa"/>
            <w:tcBorders>
              <w:top w:val="single" w:sz="4" w:space="0" w:color="auto"/>
              <w:bottom w:val="single" w:sz="4" w:space="0" w:color="auto"/>
            </w:tcBorders>
            <w:noWrap/>
            <w:hideMark/>
          </w:tcPr>
          <w:p w14:paraId="70C87A4B" w14:textId="77777777" w:rsidR="008C7033" w:rsidRPr="002215BD" w:rsidRDefault="008C7033" w:rsidP="00AB5E2B">
            <w:pPr>
              <w:spacing w:after="0" w:line="240" w:lineRule="auto"/>
              <w:ind w:right="30"/>
              <w:rPr>
                <w:b/>
              </w:rPr>
            </w:pPr>
            <w:r>
              <w:rPr>
                <w:b/>
              </w:rPr>
              <w:t>Government interes</w:t>
            </w:r>
            <w:r w:rsidRPr="002215BD">
              <w:rPr>
                <w:b/>
              </w:rPr>
              <w:t>t patents</w:t>
            </w:r>
          </w:p>
        </w:tc>
      </w:tr>
      <w:tr w:rsidR="008C7033" w:rsidRPr="002215BD" w14:paraId="69026034" w14:textId="77777777" w:rsidTr="00AB5E2B">
        <w:trPr>
          <w:trHeight w:val="300"/>
          <w:jc w:val="center"/>
        </w:trPr>
        <w:tc>
          <w:tcPr>
            <w:tcW w:w="2550" w:type="dxa"/>
            <w:tcBorders>
              <w:top w:val="single" w:sz="4" w:space="0" w:color="auto"/>
            </w:tcBorders>
            <w:noWrap/>
            <w:hideMark/>
          </w:tcPr>
          <w:p w14:paraId="1E7A42DF" w14:textId="77777777" w:rsidR="008C7033" w:rsidRPr="002215BD" w:rsidRDefault="008C7033" w:rsidP="00AB5E2B">
            <w:pPr>
              <w:spacing w:after="0" w:line="240" w:lineRule="auto"/>
            </w:pPr>
            <w:r w:rsidRPr="002215BD">
              <w:t>1980</w:t>
            </w:r>
          </w:p>
        </w:tc>
        <w:tc>
          <w:tcPr>
            <w:tcW w:w="2550" w:type="dxa"/>
            <w:tcBorders>
              <w:top w:val="single" w:sz="4" w:space="0" w:color="auto"/>
            </w:tcBorders>
            <w:noWrap/>
            <w:hideMark/>
          </w:tcPr>
          <w:p w14:paraId="536437E2" w14:textId="77777777" w:rsidR="008C7033" w:rsidRPr="002215BD" w:rsidRDefault="008C7033" w:rsidP="00AB5E2B">
            <w:pPr>
              <w:spacing w:after="0" w:line="240" w:lineRule="auto"/>
            </w:pPr>
            <w:r w:rsidRPr="002215BD">
              <w:t>66,212</w:t>
            </w:r>
          </w:p>
        </w:tc>
        <w:tc>
          <w:tcPr>
            <w:tcW w:w="2550" w:type="dxa"/>
            <w:tcBorders>
              <w:top w:val="single" w:sz="4" w:space="0" w:color="auto"/>
            </w:tcBorders>
            <w:noWrap/>
            <w:hideMark/>
          </w:tcPr>
          <w:p w14:paraId="46C0AEE5" w14:textId="77777777" w:rsidR="008C7033" w:rsidRPr="002215BD" w:rsidRDefault="008C7033" w:rsidP="00AB5E2B">
            <w:pPr>
              <w:spacing w:after="0" w:line="240" w:lineRule="auto"/>
            </w:pPr>
            <w:r w:rsidRPr="002215BD">
              <w:t>1,297</w:t>
            </w:r>
          </w:p>
        </w:tc>
      </w:tr>
      <w:tr w:rsidR="008C7033" w:rsidRPr="002215BD" w14:paraId="6C667D2B" w14:textId="77777777" w:rsidTr="00AB5E2B">
        <w:trPr>
          <w:trHeight w:val="300"/>
          <w:jc w:val="center"/>
        </w:trPr>
        <w:tc>
          <w:tcPr>
            <w:tcW w:w="2550" w:type="dxa"/>
            <w:noWrap/>
            <w:hideMark/>
          </w:tcPr>
          <w:p w14:paraId="1B31A301" w14:textId="77777777" w:rsidR="008C7033" w:rsidRPr="002215BD" w:rsidRDefault="008C7033" w:rsidP="00AB5E2B">
            <w:pPr>
              <w:spacing w:after="0" w:line="240" w:lineRule="auto"/>
            </w:pPr>
            <w:r w:rsidRPr="002215BD">
              <w:t>1981</w:t>
            </w:r>
          </w:p>
        </w:tc>
        <w:tc>
          <w:tcPr>
            <w:tcW w:w="2550" w:type="dxa"/>
            <w:noWrap/>
            <w:hideMark/>
          </w:tcPr>
          <w:p w14:paraId="5A47175B" w14:textId="77777777" w:rsidR="008C7033" w:rsidRPr="002215BD" w:rsidRDefault="008C7033" w:rsidP="00AB5E2B">
            <w:pPr>
              <w:spacing w:after="0" w:line="240" w:lineRule="auto"/>
            </w:pPr>
            <w:r w:rsidRPr="002215BD">
              <w:t>71,112</w:t>
            </w:r>
          </w:p>
        </w:tc>
        <w:tc>
          <w:tcPr>
            <w:tcW w:w="2550" w:type="dxa"/>
            <w:noWrap/>
            <w:hideMark/>
          </w:tcPr>
          <w:p w14:paraId="7457EE86" w14:textId="77777777" w:rsidR="008C7033" w:rsidRPr="002215BD" w:rsidRDefault="008C7033" w:rsidP="00AB5E2B">
            <w:pPr>
              <w:spacing w:after="0" w:line="240" w:lineRule="auto"/>
            </w:pPr>
            <w:r w:rsidRPr="002215BD">
              <w:t>1,246</w:t>
            </w:r>
          </w:p>
        </w:tc>
      </w:tr>
      <w:tr w:rsidR="008C7033" w:rsidRPr="002215BD" w14:paraId="10791493" w14:textId="77777777" w:rsidTr="00AB5E2B">
        <w:trPr>
          <w:trHeight w:val="300"/>
          <w:jc w:val="center"/>
        </w:trPr>
        <w:tc>
          <w:tcPr>
            <w:tcW w:w="2550" w:type="dxa"/>
            <w:noWrap/>
            <w:hideMark/>
          </w:tcPr>
          <w:p w14:paraId="32DCC971" w14:textId="77777777" w:rsidR="008C7033" w:rsidRPr="002215BD" w:rsidRDefault="008C7033" w:rsidP="00AB5E2B">
            <w:pPr>
              <w:spacing w:after="0" w:line="240" w:lineRule="auto"/>
            </w:pPr>
            <w:r w:rsidRPr="002215BD">
              <w:t>1982</w:t>
            </w:r>
          </w:p>
        </w:tc>
        <w:tc>
          <w:tcPr>
            <w:tcW w:w="2550" w:type="dxa"/>
            <w:noWrap/>
            <w:hideMark/>
          </w:tcPr>
          <w:p w14:paraId="5B28C067" w14:textId="77777777" w:rsidR="008C7033" w:rsidRPr="002215BD" w:rsidRDefault="008C7033" w:rsidP="00AB5E2B">
            <w:pPr>
              <w:spacing w:after="0" w:line="240" w:lineRule="auto"/>
            </w:pPr>
            <w:r w:rsidRPr="002215BD">
              <w:t>63,292</w:t>
            </w:r>
          </w:p>
        </w:tc>
        <w:tc>
          <w:tcPr>
            <w:tcW w:w="2550" w:type="dxa"/>
            <w:noWrap/>
            <w:hideMark/>
          </w:tcPr>
          <w:p w14:paraId="456A0CC7" w14:textId="77777777" w:rsidR="008C7033" w:rsidRPr="002215BD" w:rsidRDefault="008C7033" w:rsidP="00AB5E2B">
            <w:pPr>
              <w:spacing w:after="0" w:line="240" w:lineRule="auto"/>
            </w:pPr>
            <w:r w:rsidRPr="002215BD">
              <w:t>1,202</w:t>
            </w:r>
          </w:p>
        </w:tc>
      </w:tr>
      <w:tr w:rsidR="008C7033" w:rsidRPr="002215BD" w14:paraId="56F547B5" w14:textId="77777777" w:rsidTr="00AB5E2B">
        <w:trPr>
          <w:trHeight w:val="300"/>
          <w:jc w:val="center"/>
        </w:trPr>
        <w:tc>
          <w:tcPr>
            <w:tcW w:w="2550" w:type="dxa"/>
            <w:noWrap/>
            <w:hideMark/>
          </w:tcPr>
          <w:p w14:paraId="1016FC8F" w14:textId="77777777" w:rsidR="008C7033" w:rsidRPr="002215BD" w:rsidRDefault="008C7033" w:rsidP="00AB5E2B">
            <w:pPr>
              <w:spacing w:after="0" w:line="240" w:lineRule="auto"/>
            </w:pPr>
            <w:r w:rsidRPr="002215BD">
              <w:t>1983</w:t>
            </w:r>
          </w:p>
        </w:tc>
        <w:tc>
          <w:tcPr>
            <w:tcW w:w="2550" w:type="dxa"/>
            <w:noWrap/>
            <w:hideMark/>
          </w:tcPr>
          <w:p w14:paraId="5CE3B36B" w14:textId="77777777" w:rsidR="008C7033" w:rsidRPr="002215BD" w:rsidRDefault="008C7033" w:rsidP="00AB5E2B">
            <w:pPr>
              <w:spacing w:after="0" w:line="240" w:lineRule="auto"/>
            </w:pPr>
            <w:r w:rsidRPr="002215BD">
              <w:t>62,019</w:t>
            </w:r>
          </w:p>
        </w:tc>
        <w:tc>
          <w:tcPr>
            <w:tcW w:w="2550" w:type="dxa"/>
            <w:noWrap/>
            <w:hideMark/>
          </w:tcPr>
          <w:p w14:paraId="2666F5ED" w14:textId="77777777" w:rsidR="008C7033" w:rsidRPr="002215BD" w:rsidRDefault="008C7033" w:rsidP="00AB5E2B">
            <w:pPr>
              <w:spacing w:after="0" w:line="240" w:lineRule="auto"/>
            </w:pPr>
            <w:r w:rsidRPr="002215BD">
              <w:t>1,279</w:t>
            </w:r>
          </w:p>
        </w:tc>
      </w:tr>
      <w:tr w:rsidR="008C7033" w:rsidRPr="002215BD" w14:paraId="27149440" w14:textId="77777777" w:rsidTr="00AB5E2B">
        <w:trPr>
          <w:trHeight w:val="300"/>
          <w:jc w:val="center"/>
        </w:trPr>
        <w:tc>
          <w:tcPr>
            <w:tcW w:w="2550" w:type="dxa"/>
            <w:noWrap/>
            <w:hideMark/>
          </w:tcPr>
          <w:p w14:paraId="1ACCD6F4" w14:textId="77777777" w:rsidR="008C7033" w:rsidRPr="002215BD" w:rsidRDefault="008C7033" w:rsidP="00AB5E2B">
            <w:pPr>
              <w:spacing w:after="0" w:line="240" w:lineRule="auto"/>
            </w:pPr>
            <w:r w:rsidRPr="002215BD">
              <w:t>1984</w:t>
            </w:r>
          </w:p>
        </w:tc>
        <w:tc>
          <w:tcPr>
            <w:tcW w:w="2550" w:type="dxa"/>
            <w:noWrap/>
            <w:hideMark/>
          </w:tcPr>
          <w:p w14:paraId="3F5F0D35" w14:textId="77777777" w:rsidR="008C7033" w:rsidRPr="002215BD" w:rsidRDefault="008C7033" w:rsidP="00AB5E2B">
            <w:pPr>
              <w:spacing w:after="0" w:line="240" w:lineRule="auto"/>
            </w:pPr>
            <w:r w:rsidRPr="002215BD">
              <w:t>72,689</w:t>
            </w:r>
          </w:p>
        </w:tc>
        <w:tc>
          <w:tcPr>
            <w:tcW w:w="2550" w:type="dxa"/>
            <w:noWrap/>
            <w:hideMark/>
          </w:tcPr>
          <w:p w14:paraId="3C8A776E" w14:textId="77777777" w:rsidR="008C7033" w:rsidRPr="002215BD" w:rsidRDefault="008C7033" w:rsidP="00AB5E2B">
            <w:pPr>
              <w:spacing w:after="0" w:line="240" w:lineRule="auto"/>
            </w:pPr>
            <w:r w:rsidRPr="002215BD">
              <w:t>1,470</w:t>
            </w:r>
          </w:p>
        </w:tc>
      </w:tr>
      <w:tr w:rsidR="008C7033" w:rsidRPr="002215BD" w14:paraId="3767B409" w14:textId="77777777" w:rsidTr="00AB5E2B">
        <w:trPr>
          <w:trHeight w:val="300"/>
          <w:jc w:val="center"/>
        </w:trPr>
        <w:tc>
          <w:tcPr>
            <w:tcW w:w="2550" w:type="dxa"/>
            <w:noWrap/>
            <w:hideMark/>
          </w:tcPr>
          <w:p w14:paraId="5B881432" w14:textId="77777777" w:rsidR="008C7033" w:rsidRPr="002215BD" w:rsidRDefault="008C7033" w:rsidP="00AB5E2B">
            <w:pPr>
              <w:spacing w:after="0" w:line="240" w:lineRule="auto"/>
            </w:pPr>
            <w:r w:rsidRPr="002215BD">
              <w:t>1985</w:t>
            </w:r>
          </w:p>
        </w:tc>
        <w:tc>
          <w:tcPr>
            <w:tcW w:w="2550" w:type="dxa"/>
            <w:noWrap/>
            <w:hideMark/>
          </w:tcPr>
          <w:p w14:paraId="0E7B9DCE" w14:textId="77777777" w:rsidR="008C7033" w:rsidRPr="002215BD" w:rsidRDefault="008C7033" w:rsidP="00AB5E2B">
            <w:pPr>
              <w:spacing w:after="0" w:line="240" w:lineRule="auto"/>
            </w:pPr>
            <w:r w:rsidRPr="002215BD">
              <w:t>77,276</w:t>
            </w:r>
          </w:p>
        </w:tc>
        <w:tc>
          <w:tcPr>
            <w:tcW w:w="2550" w:type="dxa"/>
            <w:noWrap/>
            <w:hideMark/>
          </w:tcPr>
          <w:p w14:paraId="3761A0EF" w14:textId="77777777" w:rsidR="008C7033" w:rsidRPr="002215BD" w:rsidRDefault="008C7033" w:rsidP="00AB5E2B">
            <w:pPr>
              <w:spacing w:after="0" w:line="240" w:lineRule="auto"/>
            </w:pPr>
            <w:r w:rsidRPr="002215BD">
              <w:t>1,433</w:t>
            </w:r>
          </w:p>
        </w:tc>
      </w:tr>
      <w:tr w:rsidR="008C7033" w:rsidRPr="002215BD" w14:paraId="671D180C" w14:textId="77777777" w:rsidTr="00AB5E2B">
        <w:trPr>
          <w:trHeight w:val="300"/>
          <w:jc w:val="center"/>
        </w:trPr>
        <w:tc>
          <w:tcPr>
            <w:tcW w:w="2550" w:type="dxa"/>
            <w:noWrap/>
            <w:hideMark/>
          </w:tcPr>
          <w:p w14:paraId="2072947D" w14:textId="77777777" w:rsidR="008C7033" w:rsidRPr="002215BD" w:rsidRDefault="008C7033" w:rsidP="00AB5E2B">
            <w:pPr>
              <w:spacing w:after="0" w:line="240" w:lineRule="auto"/>
            </w:pPr>
            <w:r w:rsidRPr="002215BD">
              <w:t>1986</w:t>
            </w:r>
          </w:p>
        </w:tc>
        <w:tc>
          <w:tcPr>
            <w:tcW w:w="2550" w:type="dxa"/>
            <w:noWrap/>
            <w:hideMark/>
          </w:tcPr>
          <w:p w14:paraId="66B7435E" w14:textId="77777777" w:rsidR="008C7033" w:rsidRPr="002215BD" w:rsidRDefault="008C7033" w:rsidP="00AB5E2B">
            <w:pPr>
              <w:spacing w:after="0" w:line="240" w:lineRule="auto"/>
            </w:pPr>
            <w:r w:rsidRPr="002215BD">
              <w:t>77,050</w:t>
            </w:r>
          </w:p>
        </w:tc>
        <w:tc>
          <w:tcPr>
            <w:tcW w:w="2550" w:type="dxa"/>
            <w:noWrap/>
            <w:hideMark/>
          </w:tcPr>
          <w:p w14:paraId="1FA063B0" w14:textId="77777777" w:rsidR="008C7033" w:rsidRPr="002215BD" w:rsidRDefault="008C7033" w:rsidP="00AB5E2B">
            <w:pPr>
              <w:spacing w:after="0" w:line="240" w:lineRule="auto"/>
            </w:pPr>
            <w:r w:rsidRPr="002215BD">
              <w:t>1,466</w:t>
            </w:r>
          </w:p>
        </w:tc>
      </w:tr>
      <w:tr w:rsidR="008C7033" w:rsidRPr="002215BD" w14:paraId="26D3928C" w14:textId="77777777" w:rsidTr="00AB5E2B">
        <w:trPr>
          <w:trHeight w:val="300"/>
          <w:jc w:val="center"/>
        </w:trPr>
        <w:tc>
          <w:tcPr>
            <w:tcW w:w="2550" w:type="dxa"/>
            <w:noWrap/>
            <w:hideMark/>
          </w:tcPr>
          <w:p w14:paraId="62307EA4" w14:textId="77777777" w:rsidR="008C7033" w:rsidRPr="002215BD" w:rsidRDefault="008C7033" w:rsidP="00AB5E2B">
            <w:pPr>
              <w:spacing w:after="0" w:line="240" w:lineRule="auto"/>
            </w:pPr>
            <w:r w:rsidRPr="002215BD">
              <w:t>1987</w:t>
            </w:r>
          </w:p>
        </w:tc>
        <w:tc>
          <w:tcPr>
            <w:tcW w:w="2550" w:type="dxa"/>
            <w:noWrap/>
            <w:hideMark/>
          </w:tcPr>
          <w:p w14:paraId="79774433" w14:textId="77777777" w:rsidR="008C7033" w:rsidRPr="002215BD" w:rsidRDefault="008C7033" w:rsidP="00AB5E2B">
            <w:pPr>
              <w:spacing w:after="0" w:line="240" w:lineRule="auto"/>
            </w:pPr>
            <w:r w:rsidRPr="002215BD">
              <w:t>89,591</w:t>
            </w:r>
          </w:p>
        </w:tc>
        <w:tc>
          <w:tcPr>
            <w:tcW w:w="2550" w:type="dxa"/>
            <w:noWrap/>
            <w:hideMark/>
          </w:tcPr>
          <w:p w14:paraId="6F804492" w14:textId="77777777" w:rsidR="008C7033" w:rsidRPr="002215BD" w:rsidRDefault="008C7033" w:rsidP="00AB5E2B">
            <w:pPr>
              <w:spacing w:after="0" w:line="240" w:lineRule="auto"/>
            </w:pPr>
            <w:r w:rsidRPr="002215BD">
              <w:t>1,637</w:t>
            </w:r>
          </w:p>
        </w:tc>
      </w:tr>
      <w:tr w:rsidR="008C7033" w:rsidRPr="002215BD" w14:paraId="1F8B1F3C" w14:textId="77777777" w:rsidTr="00AB5E2B">
        <w:trPr>
          <w:trHeight w:val="300"/>
          <w:jc w:val="center"/>
        </w:trPr>
        <w:tc>
          <w:tcPr>
            <w:tcW w:w="2550" w:type="dxa"/>
            <w:noWrap/>
            <w:hideMark/>
          </w:tcPr>
          <w:p w14:paraId="1DA9C1EE" w14:textId="77777777" w:rsidR="008C7033" w:rsidRPr="002215BD" w:rsidRDefault="008C7033" w:rsidP="00AB5E2B">
            <w:pPr>
              <w:spacing w:after="0" w:line="240" w:lineRule="auto"/>
            </w:pPr>
            <w:r w:rsidRPr="002215BD">
              <w:t>1988</w:t>
            </w:r>
          </w:p>
        </w:tc>
        <w:tc>
          <w:tcPr>
            <w:tcW w:w="2550" w:type="dxa"/>
            <w:noWrap/>
            <w:hideMark/>
          </w:tcPr>
          <w:p w14:paraId="14817C5D" w14:textId="77777777" w:rsidR="008C7033" w:rsidRPr="002215BD" w:rsidRDefault="008C7033" w:rsidP="00AB5E2B">
            <w:pPr>
              <w:spacing w:after="0" w:line="240" w:lineRule="auto"/>
            </w:pPr>
            <w:r w:rsidRPr="002215BD">
              <w:t>84,449</w:t>
            </w:r>
          </w:p>
        </w:tc>
        <w:tc>
          <w:tcPr>
            <w:tcW w:w="2550" w:type="dxa"/>
            <w:noWrap/>
            <w:hideMark/>
          </w:tcPr>
          <w:p w14:paraId="468CB867" w14:textId="77777777" w:rsidR="008C7033" w:rsidRPr="002215BD" w:rsidRDefault="008C7033" w:rsidP="00AB5E2B">
            <w:pPr>
              <w:spacing w:after="0" w:line="240" w:lineRule="auto"/>
            </w:pPr>
            <w:r w:rsidRPr="002215BD">
              <w:t>1,375</w:t>
            </w:r>
          </w:p>
        </w:tc>
      </w:tr>
      <w:tr w:rsidR="008C7033" w:rsidRPr="002215BD" w14:paraId="21954C9F" w14:textId="77777777" w:rsidTr="00AB5E2B">
        <w:trPr>
          <w:trHeight w:val="300"/>
          <w:jc w:val="center"/>
        </w:trPr>
        <w:tc>
          <w:tcPr>
            <w:tcW w:w="2550" w:type="dxa"/>
            <w:noWrap/>
            <w:hideMark/>
          </w:tcPr>
          <w:p w14:paraId="373A1624" w14:textId="77777777" w:rsidR="008C7033" w:rsidRPr="002215BD" w:rsidRDefault="008C7033" w:rsidP="00AB5E2B">
            <w:pPr>
              <w:spacing w:after="0" w:line="240" w:lineRule="auto"/>
            </w:pPr>
            <w:r w:rsidRPr="002215BD">
              <w:t>1989</w:t>
            </w:r>
          </w:p>
        </w:tc>
        <w:tc>
          <w:tcPr>
            <w:tcW w:w="2550" w:type="dxa"/>
            <w:noWrap/>
            <w:hideMark/>
          </w:tcPr>
          <w:p w14:paraId="4A7038A5" w14:textId="77777777" w:rsidR="008C7033" w:rsidRPr="002215BD" w:rsidRDefault="008C7033" w:rsidP="00AB5E2B">
            <w:pPr>
              <w:spacing w:after="0" w:line="240" w:lineRule="auto"/>
            </w:pPr>
            <w:r w:rsidRPr="002215BD">
              <w:t>102,719</w:t>
            </w:r>
          </w:p>
        </w:tc>
        <w:tc>
          <w:tcPr>
            <w:tcW w:w="2550" w:type="dxa"/>
            <w:noWrap/>
            <w:hideMark/>
          </w:tcPr>
          <w:p w14:paraId="4E39FC6A" w14:textId="77777777" w:rsidR="008C7033" w:rsidRPr="002215BD" w:rsidRDefault="008C7033" w:rsidP="00AB5E2B">
            <w:pPr>
              <w:spacing w:after="0" w:line="240" w:lineRule="auto"/>
            </w:pPr>
            <w:r w:rsidRPr="002215BD">
              <w:t>1,771</w:t>
            </w:r>
          </w:p>
        </w:tc>
      </w:tr>
      <w:tr w:rsidR="008C7033" w:rsidRPr="002215BD" w14:paraId="24C5E222" w14:textId="77777777" w:rsidTr="00AB5E2B">
        <w:trPr>
          <w:trHeight w:val="300"/>
          <w:jc w:val="center"/>
        </w:trPr>
        <w:tc>
          <w:tcPr>
            <w:tcW w:w="2550" w:type="dxa"/>
            <w:noWrap/>
            <w:hideMark/>
          </w:tcPr>
          <w:p w14:paraId="77A928A1" w14:textId="77777777" w:rsidR="008C7033" w:rsidRPr="002215BD" w:rsidRDefault="008C7033" w:rsidP="00AB5E2B">
            <w:pPr>
              <w:spacing w:after="0" w:line="240" w:lineRule="auto"/>
            </w:pPr>
            <w:r w:rsidRPr="002215BD">
              <w:t>1990</w:t>
            </w:r>
          </w:p>
        </w:tc>
        <w:tc>
          <w:tcPr>
            <w:tcW w:w="2550" w:type="dxa"/>
            <w:noWrap/>
            <w:hideMark/>
          </w:tcPr>
          <w:p w14:paraId="2F88A386" w14:textId="77777777" w:rsidR="008C7033" w:rsidRPr="002215BD" w:rsidRDefault="008C7033" w:rsidP="00AB5E2B">
            <w:pPr>
              <w:spacing w:after="0" w:line="240" w:lineRule="auto"/>
            </w:pPr>
            <w:r w:rsidRPr="002215BD">
              <w:t>99,275</w:t>
            </w:r>
          </w:p>
        </w:tc>
        <w:tc>
          <w:tcPr>
            <w:tcW w:w="2550" w:type="dxa"/>
            <w:noWrap/>
            <w:hideMark/>
          </w:tcPr>
          <w:p w14:paraId="27F6090C" w14:textId="77777777" w:rsidR="008C7033" w:rsidRPr="002215BD" w:rsidRDefault="008C7033" w:rsidP="00AB5E2B">
            <w:pPr>
              <w:spacing w:after="0" w:line="240" w:lineRule="auto"/>
            </w:pPr>
            <w:r w:rsidRPr="002215BD">
              <w:t>1,617</w:t>
            </w:r>
          </w:p>
        </w:tc>
      </w:tr>
      <w:tr w:rsidR="008C7033" w:rsidRPr="002215BD" w14:paraId="6D650CAF" w14:textId="77777777" w:rsidTr="00AB5E2B">
        <w:trPr>
          <w:trHeight w:val="300"/>
          <w:jc w:val="center"/>
        </w:trPr>
        <w:tc>
          <w:tcPr>
            <w:tcW w:w="2550" w:type="dxa"/>
            <w:noWrap/>
            <w:hideMark/>
          </w:tcPr>
          <w:p w14:paraId="568104D9" w14:textId="77777777" w:rsidR="008C7033" w:rsidRPr="002215BD" w:rsidRDefault="008C7033" w:rsidP="00AB5E2B">
            <w:pPr>
              <w:spacing w:after="0" w:line="240" w:lineRule="auto"/>
            </w:pPr>
            <w:r w:rsidRPr="002215BD">
              <w:t>1991</w:t>
            </w:r>
          </w:p>
        </w:tc>
        <w:tc>
          <w:tcPr>
            <w:tcW w:w="2550" w:type="dxa"/>
            <w:noWrap/>
            <w:hideMark/>
          </w:tcPr>
          <w:p w14:paraId="2EA3D226" w14:textId="77777777" w:rsidR="008C7033" w:rsidRPr="002215BD" w:rsidRDefault="008C7033" w:rsidP="00AB5E2B">
            <w:pPr>
              <w:spacing w:after="0" w:line="240" w:lineRule="auto"/>
            </w:pPr>
            <w:r w:rsidRPr="002215BD">
              <w:t>106,891</w:t>
            </w:r>
          </w:p>
        </w:tc>
        <w:tc>
          <w:tcPr>
            <w:tcW w:w="2550" w:type="dxa"/>
            <w:noWrap/>
            <w:hideMark/>
          </w:tcPr>
          <w:p w14:paraId="5DC1C30F" w14:textId="77777777" w:rsidR="008C7033" w:rsidRPr="002215BD" w:rsidRDefault="008C7033" w:rsidP="00AB5E2B">
            <w:pPr>
              <w:spacing w:after="0" w:line="240" w:lineRule="auto"/>
            </w:pPr>
            <w:r w:rsidRPr="002215BD">
              <w:t>1,889</w:t>
            </w:r>
          </w:p>
        </w:tc>
      </w:tr>
      <w:tr w:rsidR="008C7033" w:rsidRPr="002215BD" w14:paraId="690F83DA" w14:textId="77777777" w:rsidTr="00AB5E2B">
        <w:trPr>
          <w:trHeight w:val="300"/>
          <w:jc w:val="center"/>
        </w:trPr>
        <w:tc>
          <w:tcPr>
            <w:tcW w:w="2550" w:type="dxa"/>
            <w:noWrap/>
            <w:hideMark/>
          </w:tcPr>
          <w:p w14:paraId="58A4878A" w14:textId="77777777" w:rsidR="008C7033" w:rsidRPr="002215BD" w:rsidRDefault="008C7033" w:rsidP="00AB5E2B">
            <w:pPr>
              <w:spacing w:after="0" w:line="240" w:lineRule="auto"/>
            </w:pPr>
            <w:r w:rsidRPr="002215BD">
              <w:t>1992</w:t>
            </w:r>
          </w:p>
        </w:tc>
        <w:tc>
          <w:tcPr>
            <w:tcW w:w="2550" w:type="dxa"/>
            <w:noWrap/>
            <w:hideMark/>
          </w:tcPr>
          <w:p w14:paraId="3AF09D9D" w14:textId="77777777" w:rsidR="008C7033" w:rsidRPr="002215BD" w:rsidRDefault="008C7033" w:rsidP="00AB5E2B">
            <w:pPr>
              <w:spacing w:after="0" w:line="240" w:lineRule="auto"/>
            </w:pPr>
            <w:r w:rsidRPr="002215BD">
              <w:t>107,540</w:t>
            </w:r>
          </w:p>
        </w:tc>
        <w:tc>
          <w:tcPr>
            <w:tcW w:w="2550" w:type="dxa"/>
            <w:noWrap/>
            <w:hideMark/>
          </w:tcPr>
          <w:p w14:paraId="3BDB59C4" w14:textId="77777777" w:rsidR="008C7033" w:rsidRPr="002215BD" w:rsidRDefault="008C7033" w:rsidP="00AB5E2B">
            <w:pPr>
              <w:spacing w:after="0" w:line="240" w:lineRule="auto"/>
            </w:pPr>
            <w:r w:rsidRPr="002215BD">
              <w:t>2,065</w:t>
            </w:r>
          </w:p>
        </w:tc>
      </w:tr>
      <w:tr w:rsidR="008C7033" w:rsidRPr="002215BD" w14:paraId="719B487E" w14:textId="77777777" w:rsidTr="00AB5E2B">
        <w:trPr>
          <w:trHeight w:val="300"/>
          <w:jc w:val="center"/>
        </w:trPr>
        <w:tc>
          <w:tcPr>
            <w:tcW w:w="2550" w:type="dxa"/>
            <w:noWrap/>
            <w:hideMark/>
          </w:tcPr>
          <w:p w14:paraId="13421F42" w14:textId="77777777" w:rsidR="008C7033" w:rsidRPr="002215BD" w:rsidRDefault="008C7033" w:rsidP="00AB5E2B">
            <w:pPr>
              <w:spacing w:after="0" w:line="240" w:lineRule="auto"/>
            </w:pPr>
            <w:r w:rsidRPr="002215BD">
              <w:t>1993</w:t>
            </w:r>
          </w:p>
        </w:tc>
        <w:tc>
          <w:tcPr>
            <w:tcW w:w="2550" w:type="dxa"/>
            <w:noWrap/>
            <w:hideMark/>
          </w:tcPr>
          <w:p w14:paraId="6AB5F161" w14:textId="77777777" w:rsidR="008C7033" w:rsidRPr="002215BD" w:rsidRDefault="008C7033" w:rsidP="00AB5E2B">
            <w:pPr>
              <w:spacing w:after="0" w:line="240" w:lineRule="auto"/>
            </w:pPr>
            <w:r w:rsidRPr="002215BD">
              <w:t>109,933</w:t>
            </w:r>
          </w:p>
        </w:tc>
        <w:tc>
          <w:tcPr>
            <w:tcW w:w="2550" w:type="dxa"/>
            <w:noWrap/>
            <w:hideMark/>
          </w:tcPr>
          <w:p w14:paraId="60F9FE3D" w14:textId="77777777" w:rsidR="008C7033" w:rsidRPr="002215BD" w:rsidRDefault="008C7033" w:rsidP="00AB5E2B">
            <w:pPr>
              <w:spacing w:after="0" w:line="240" w:lineRule="auto"/>
            </w:pPr>
            <w:r w:rsidRPr="002215BD">
              <w:t>2,106</w:t>
            </w:r>
          </w:p>
        </w:tc>
      </w:tr>
      <w:tr w:rsidR="008C7033" w:rsidRPr="002215BD" w14:paraId="42B5007D" w14:textId="77777777" w:rsidTr="00AB5E2B">
        <w:trPr>
          <w:trHeight w:val="300"/>
          <w:jc w:val="center"/>
        </w:trPr>
        <w:tc>
          <w:tcPr>
            <w:tcW w:w="2550" w:type="dxa"/>
            <w:noWrap/>
            <w:hideMark/>
          </w:tcPr>
          <w:p w14:paraId="6D38FDE9" w14:textId="77777777" w:rsidR="008C7033" w:rsidRPr="002215BD" w:rsidRDefault="008C7033" w:rsidP="00AB5E2B">
            <w:pPr>
              <w:spacing w:after="0" w:line="240" w:lineRule="auto"/>
            </w:pPr>
            <w:r w:rsidRPr="002215BD">
              <w:t>1994</w:t>
            </w:r>
          </w:p>
        </w:tc>
        <w:tc>
          <w:tcPr>
            <w:tcW w:w="2550" w:type="dxa"/>
            <w:noWrap/>
            <w:hideMark/>
          </w:tcPr>
          <w:p w14:paraId="3E71C277" w14:textId="77777777" w:rsidR="008C7033" w:rsidRPr="002215BD" w:rsidRDefault="008C7033" w:rsidP="00AB5E2B">
            <w:pPr>
              <w:spacing w:after="0" w:line="240" w:lineRule="auto"/>
            </w:pPr>
            <w:r w:rsidRPr="002215BD">
              <w:t>113,723</w:t>
            </w:r>
          </w:p>
        </w:tc>
        <w:tc>
          <w:tcPr>
            <w:tcW w:w="2550" w:type="dxa"/>
            <w:noWrap/>
            <w:hideMark/>
          </w:tcPr>
          <w:p w14:paraId="2D3E1B95" w14:textId="77777777" w:rsidR="008C7033" w:rsidRPr="002215BD" w:rsidRDefault="008C7033" w:rsidP="00AB5E2B">
            <w:pPr>
              <w:spacing w:after="0" w:line="240" w:lineRule="auto"/>
            </w:pPr>
            <w:r w:rsidRPr="002215BD">
              <w:t>2,246</w:t>
            </w:r>
          </w:p>
        </w:tc>
      </w:tr>
      <w:tr w:rsidR="008C7033" w:rsidRPr="002215BD" w14:paraId="7A662782" w14:textId="77777777" w:rsidTr="00AB5E2B">
        <w:trPr>
          <w:trHeight w:val="300"/>
          <w:jc w:val="center"/>
        </w:trPr>
        <w:tc>
          <w:tcPr>
            <w:tcW w:w="2550" w:type="dxa"/>
            <w:noWrap/>
            <w:hideMark/>
          </w:tcPr>
          <w:p w14:paraId="34E0A1B0" w14:textId="77777777" w:rsidR="008C7033" w:rsidRPr="002215BD" w:rsidRDefault="008C7033" w:rsidP="00AB5E2B">
            <w:pPr>
              <w:spacing w:after="0" w:line="240" w:lineRule="auto"/>
            </w:pPr>
            <w:r w:rsidRPr="002215BD">
              <w:t>1995</w:t>
            </w:r>
          </w:p>
        </w:tc>
        <w:tc>
          <w:tcPr>
            <w:tcW w:w="2550" w:type="dxa"/>
            <w:noWrap/>
            <w:hideMark/>
          </w:tcPr>
          <w:p w14:paraId="28A7B475" w14:textId="77777777" w:rsidR="008C7033" w:rsidRPr="002215BD" w:rsidRDefault="008C7033" w:rsidP="00AB5E2B">
            <w:pPr>
              <w:spacing w:after="0" w:line="240" w:lineRule="auto"/>
            </w:pPr>
            <w:r w:rsidRPr="002215BD">
              <w:t>113,954</w:t>
            </w:r>
          </w:p>
        </w:tc>
        <w:tc>
          <w:tcPr>
            <w:tcW w:w="2550" w:type="dxa"/>
            <w:noWrap/>
            <w:hideMark/>
          </w:tcPr>
          <w:p w14:paraId="44C2A5F9" w14:textId="77777777" w:rsidR="008C7033" w:rsidRPr="002215BD" w:rsidRDefault="008C7033" w:rsidP="00AB5E2B">
            <w:pPr>
              <w:spacing w:after="0" w:line="240" w:lineRule="auto"/>
            </w:pPr>
            <w:r w:rsidRPr="002215BD">
              <w:t>2,066</w:t>
            </w:r>
          </w:p>
        </w:tc>
      </w:tr>
      <w:tr w:rsidR="008C7033" w:rsidRPr="002215BD" w14:paraId="78DBB6C7" w14:textId="77777777" w:rsidTr="00AB5E2B">
        <w:trPr>
          <w:trHeight w:val="300"/>
          <w:jc w:val="center"/>
        </w:trPr>
        <w:tc>
          <w:tcPr>
            <w:tcW w:w="2550" w:type="dxa"/>
            <w:noWrap/>
            <w:hideMark/>
          </w:tcPr>
          <w:p w14:paraId="3C068F34" w14:textId="77777777" w:rsidR="008C7033" w:rsidRPr="002215BD" w:rsidRDefault="008C7033" w:rsidP="00AB5E2B">
            <w:pPr>
              <w:spacing w:after="0" w:line="240" w:lineRule="auto"/>
            </w:pPr>
            <w:r w:rsidRPr="002215BD">
              <w:t>1996</w:t>
            </w:r>
          </w:p>
        </w:tc>
        <w:tc>
          <w:tcPr>
            <w:tcW w:w="2550" w:type="dxa"/>
            <w:noWrap/>
            <w:hideMark/>
          </w:tcPr>
          <w:p w14:paraId="62B083CC" w14:textId="77777777" w:rsidR="008C7033" w:rsidRPr="002215BD" w:rsidRDefault="008C7033" w:rsidP="00AB5E2B">
            <w:pPr>
              <w:spacing w:after="0" w:line="240" w:lineRule="auto"/>
            </w:pPr>
            <w:r w:rsidRPr="002215BD">
              <w:t>121,811</w:t>
            </w:r>
          </w:p>
        </w:tc>
        <w:tc>
          <w:tcPr>
            <w:tcW w:w="2550" w:type="dxa"/>
            <w:noWrap/>
            <w:hideMark/>
          </w:tcPr>
          <w:p w14:paraId="28BD1502" w14:textId="77777777" w:rsidR="008C7033" w:rsidRPr="002215BD" w:rsidRDefault="008C7033" w:rsidP="00AB5E2B">
            <w:pPr>
              <w:spacing w:after="0" w:line="240" w:lineRule="auto"/>
            </w:pPr>
            <w:r w:rsidRPr="002215BD">
              <w:t>2,272</w:t>
            </w:r>
          </w:p>
        </w:tc>
      </w:tr>
      <w:tr w:rsidR="008C7033" w:rsidRPr="002215BD" w14:paraId="1B7DF435" w14:textId="77777777" w:rsidTr="00AB5E2B">
        <w:trPr>
          <w:trHeight w:val="300"/>
          <w:jc w:val="center"/>
        </w:trPr>
        <w:tc>
          <w:tcPr>
            <w:tcW w:w="2550" w:type="dxa"/>
            <w:noWrap/>
            <w:hideMark/>
          </w:tcPr>
          <w:p w14:paraId="1FFFF452" w14:textId="77777777" w:rsidR="008C7033" w:rsidRPr="002215BD" w:rsidRDefault="008C7033" w:rsidP="00AB5E2B">
            <w:pPr>
              <w:spacing w:after="0" w:line="240" w:lineRule="auto"/>
            </w:pPr>
            <w:r w:rsidRPr="002215BD">
              <w:t>1997</w:t>
            </w:r>
          </w:p>
        </w:tc>
        <w:tc>
          <w:tcPr>
            <w:tcW w:w="2550" w:type="dxa"/>
            <w:noWrap/>
            <w:hideMark/>
          </w:tcPr>
          <w:p w14:paraId="394CA35D" w14:textId="77777777" w:rsidR="008C7033" w:rsidRPr="002215BD" w:rsidRDefault="008C7033" w:rsidP="00AB5E2B">
            <w:pPr>
              <w:spacing w:after="0" w:line="240" w:lineRule="auto"/>
            </w:pPr>
            <w:r w:rsidRPr="002215BD">
              <w:t>124,181</w:t>
            </w:r>
          </w:p>
        </w:tc>
        <w:tc>
          <w:tcPr>
            <w:tcW w:w="2550" w:type="dxa"/>
            <w:noWrap/>
            <w:hideMark/>
          </w:tcPr>
          <w:p w14:paraId="4C23FBC1" w14:textId="77777777" w:rsidR="008C7033" w:rsidRPr="002215BD" w:rsidRDefault="008C7033" w:rsidP="00AB5E2B">
            <w:pPr>
              <w:spacing w:after="0" w:line="240" w:lineRule="auto"/>
            </w:pPr>
            <w:r w:rsidRPr="002215BD">
              <w:t>2,627</w:t>
            </w:r>
          </w:p>
        </w:tc>
      </w:tr>
      <w:tr w:rsidR="008C7033" w:rsidRPr="002215BD" w14:paraId="75EF0C35" w14:textId="77777777" w:rsidTr="00AB5E2B">
        <w:trPr>
          <w:trHeight w:val="300"/>
          <w:jc w:val="center"/>
        </w:trPr>
        <w:tc>
          <w:tcPr>
            <w:tcW w:w="2550" w:type="dxa"/>
            <w:noWrap/>
            <w:hideMark/>
          </w:tcPr>
          <w:p w14:paraId="4A0E479B" w14:textId="77777777" w:rsidR="008C7033" w:rsidRPr="002215BD" w:rsidRDefault="008C7033" w:rsidP="00AB5E2B">
            <w:pPr>
              <w:spacing w:after="0" w:line="240" w:lineRule="auto"/>
            </w:pPr>
            <w:r w:rsidRPr="002215BD">
              <w:t>1998</w:t>
            </w:r>
          </w:p>
        </w:tc>
        <w:tc>
          <w:tcPr>
            <w:tcW w:w="2550" w:type="dxa"/>
            <w:noWrap/>
            <w:hideMark/>
          </w:tcPr>
          <w:p w14:paraId="20DDE18C" w14:textId="77777777" w:rsidR="008C7033" w:rsidRPr="002215BD" w:rsidRDefault="008C7033" w:rsidP="00AB5E2B">
            <w:pPr>
              <w:spacing w:after="0" w:line="240" w:lineRule="auto"/>
            </w:pPr>
            <w:r w:rsidRPr="002215BD">
              <w:t>163,265</w:t>
            </w:r>
          </w:p>
        </w:tc>
        <w:tc>
          <w:tcPr>
            <w:tcW w:w="2550" w:type="dxa"/>
            <w:noWrap/>
            <w:hideMark/>
          </w:tcPr>
          <w:p w14:paraId="7B228256" w14:textId="77777777" w:rsidR="008C7033" w:rsidRPr="002215BD" w:rsidRDefault="008C7033" w:rsidP="00AB5E2B">
            <w:pPr>
              <w:spacing w:after="0" w:line="240" w:lineRule="auto"/>
            </w:pPr>
            <w:r w:rsidRPr="002215BD">
              <w:t>3,332</w:t>
            </w:r>
          </w:p>
        </w:tc>
      </w:tr>
      <w:tr w:rsidR="008C7033" w:rsidRPr="002215BD" w14:paraId="31B851DD" w14:textId="77777777" w:rsidTr="00AB5E2B">
        <w:trPr>
          <w:trHeight w:val="300"/>
          <w:jc w:val="center"/>
        </w:trPr>
        <w:tc>
          <w:tcPr>
            <w:tcW w:w="2550" w:type="dxa"/>
            <w:noWrap/>
            <w:hideMark/>
          </w:tcPr>
          <w:p w14:paraId="6EB44DE7" w14:textId="77777777" w:rsidR="008C7033" w:rsidRPr="002215BD" w:rsidRDefault="008C7033" w:rsidP="00AB5E2B">
            <w:pPr>
              <w:spacing w:after="0" w:line="240" w:lineRule="auto"/>
            </w:pPr>
            <w:r w:rsidRPr="002215BD">
              <w:t>1999</w:t>
            </w:r>
          </w:p>
        </w:tc>
        <w:tc>
          <w:tcPr>
            <w:tcW w:w="2550" w:type="dxa"/>
            <w:noWrap/>
            <w:hideMark/>
          </w:tcPr>
          <w:p w14:paraId="161D927A" w14:textId="77777777" w:rsidR="008C7033" w:rsidRPr="002215BD" w:rsidRDefault="008C7033" w:rsidP="00AB5E2B">
            <w:pPr>
              <w:spacing w:after="0" w:line="240" w:lineRule="auto"/>
            </w:pPr>
            <w:r w:rsidRPr="002215BD">
              <w:t>169,252</w:t>
            </w:r>
          </w:p>
        </w:tc>
        <w:tc>
          <w:tcPr>
            <w:tcW w:w="2550" w:type="dxa"/>
            <w:noWrap/>
            <w:hideMark/>
          </w:tcPr>
          <w:p w14:paraId="07891A08" w14:textId="77777777" w:rsidR="008C7033" w:rsidRPr="002215BD" w:rsidRDefault="008C7033" w:rsidP="00AB5E2B">
            <w:pPr>
              <w:spacing w:after="0" w:line="240" w:lineRule="auto"/>
            </w:pPr>
            <w:r w:rsidRPr="002215BD">
              <w:t>3,423</w:t>
            </w:r>
          </w:p>
        </w:tc>
      </w:tr>
      <w:tr w:rsidR="008C7033" w:rsidRPr="002215BD" w14:paraId="0FFAB39B" w14:textId="77777777" w:rsidTr="00AB5E2B">
        <w:trPr>
          <w:trHeight w:val="300"/>
          <w:jc w:val="center"/>
        </w:trPr>
        <w:tc>
          <w:tcPr>
            <w:tcW w:w="2550" w:type="dxa"/>
            <w:noWrap/>
            <w:hideMark/>
          </w:tcPr>
          <w:p w14:paraId="07296487" w14:textId="77777777" w:rsidR="008C7033" w:rsidRPr="002215BD" w:rsidRDefault="008C7033" w:rsidP="00AB5E2B">
            <w:pPr>
              <w:spacing w:after="0" w:line="240" w:lineRule="auto"/>
            </w:pPr>
            <w:r w:rsidRPr="002215BD">
              <w:t>2000</w:t>
            </w:r>
          </w:p>
        </w:tc>
        <w:tc>
          <w:tcPr>
            <w:tcW w:w="2550" w:type="dxa"/>
            <w:noWrap/>
            <w:hideMark/>
          </w:tcPr>
          <w:p w14:paraId="5A024F55" w14:textId="77777777" w:rsidR="008C7033" w:rsidRPr="002215BD" w:rsidRDefault="008C7033" w:rsidP="00AB5E2B">
            <w:pPr>
              <w:spacing w:after="0" w:line="240" w:lineRule="auto"/>
            </w:pPr>
            <w:r w:rsidRPr="002215BD">
              <w:t>176,192</w:t>
            </w:r>
          </w:p>
        </w:tc>
        <w:tc>
          <w:tcPr>
            <w:tcW w:w="2550" w:type="dxa"/>
            <w:noWrap/>
            <w:hideMark/>
          </w:tcPr>
          <w:p w14:paraId="25AA43E0" w14:textId="77777777" w:rsidR="008C7033" w:rsidRPr="002215BD" w:rsidRDefault="008C7033" w:rsidP="00AB5E2B">
            <w:pPr>
              <w:spacing w:after="0" w:line="240" w:lineRule="auto"/>
            </w:pPr>
            <w:r w:rsidRPr="002215BD">
              <w:t>3,337</w:t>
            </w:r>
          </w:p>
        </w:tc>
      </w:tr>
      <w:tr w:rsidR="008C7033" w:rsidRPr="002215BD" w14:paraId="0E0CF1B9" w14:textId="77777777" w:rsidTr="00AB5E2B">
        <w:trPr>
          <w:trHeight w:val="300"/>
          <w:jc w:val="center"/>
        </w:trPr>
        <w:tc>
          <w:tcPr>
            <w:tcW w:w="2550" w:type="dxa"/>
            <w:noWrap/>
            <w:hideMark/>
          </w:tcPr>
          <w:p w14:paraId="1FC902E0" w14:textId="77777777" w:rsidR="008C7033" w:rsidRPr="002215BD" w:rsidRDefault="008C7033" w:rsidP="00AB5E2B">
            <w:pPr>
              <w:spacing w:after="0" w:line="240" w:lineRule="auto"/>
            </w:pPr>
            <w:r w:rsidRPr="002215BD">
              <w:t>2001</w:t>
            </w:r>
          </w:p>
        </w:tc>
        <w:tc>
          <w:tcPr>
            <w:tcW w:w="2550" w:type="dxa"/>
            <w:noWrap/>
            <w:hideMark/>
          </w:tcPr>
          <w:p w14:paraId="7D7FFC60" w14:textId="77777777" w:rsidR="008C7033" w:rsidRPr="002215BD" w:rsidRDefault="008C7033" w:rsidP="00AB5E2B">
            <w:pPr>
              <w:spacing w:after="0" w:line="240" w:lineRule="auto"/>
            </w:pPr>
            <w:r w:rsidRPr="002215BD">
              <w:t>184,172</w:t>
            </w:r>
          </w:p>
        </w:tc>
        <w:tc>
          <w:tcPr>
            <w:tcW w:w="2550" w:type="dxa"/>
            <w:noWrap/>
            <w:hideMark/>
          </w:tcPr>
          <w:p w14:paraId="3201E723" w14:textId="77777777" w:rsidR="008C7033" w:rsidRPr="002215BD" w:rsidRDefault="008C7033" w:rsidP="00AB5E2B">
            <w:pPr>
              <w:spacing w:after="0" w:line="240" w:lineRule="auto"/>
            </w:pPr>
            <w:r w:rsidRPr="002215BD">
              <w:t>3,598</w:t>
            </w:r>
          </w:p>
        </w:tc>
      </w:tr>
      <w:tr w:rsidR="008C7033" w:rsidRPr="002215BD" w14:paraId="349A1DCF" w14:textId="77777777" w:rsidTr="00AB5E2B">
        <w:trPr>
          <w:trHeight w:val="300"/>
          <w:jc w:val="center"/>
        </w:trPr>
        <w:tc>
          <w:tcPr>
            <w:tcW w:w="2550" w:type="dxa"/>
            <w:noWrap/>
            <w:hideMark/>
          </w:tcPr>
          <w:p w14:paraId="21A20F0A" w14:textId="77777777" w:rsidR="008C7033" w:rsidRPr="002215BD" w:rsidRDefault="008C7033" w:rsidP="00AB5E2B">
            <w:pPr>
              <w:spacing w:after="0" w:line="240" w:lineRule="auto"/>
            </w:pPr>
            <w:r w:rsidRPr="002215BD">
              <w:t>2002</w:t>
            </w:r>
          </w:p>
        </w:tc>
        <w:tc>
          <w:tcPr>
            <w:tcW w:w="2550" w:type="dxa"/>
            <w:noWrap/>
            <w:hideMark/>
          </w:tcPr>
          <w:p w14:paraId="6127BB63" w14:textId="77777777" w:rsidR="008C7033" w:rsidRPr="002215BD" w:rsidRDefault="008C7033" w:rsidP="00AB5E2B">
            <w:pPr>
              <w:spacing w:after="0" w:line="240" w:lineRule="auto"/>
            </w:pPr>
            <w:r w:rsidRPr="002215BD">
              <w:t>184,494</w:t>
            </w:r>
          </w:p>
        </w:tc>
        <w:tc>
          <w:tcPr>
            <w:tcW w:w="2550" w:type="dxa"/>
            <w:noWrap/>
            <w:hideMark/>
          </w:tcPr>
          <w:p w14:paraId="4C4CAD1D" w14:textId="77777777" w:rsidR="008C7033" w:rsidRPr="002215BD" w:rsidRDefault="008C7033" w:rsidP="00AB5E2B">
            <w:pPr>
              <w:spacing w:after="0" w:line="240" w:lineRule="auto"/>
            </w:pPr>
            <w:r w:rsidRPr="002215BD">
              <w:t>3,685</w:t>
            </w:r>
          </w:p>
        </w:tc>
      </w:tr>
      <w:tr w:rsidR="008C7033" w:rsidRPr="002215BD" w14:paraId="073A2CD9" w14:textId="77777777" w:rsidTr="00AB5E2B">
        <w:trPr>
          <w:trHeight w:val="300"/>
          <w:jc w:val="center"/>
        </w:trPr>
        <w:tc>
          <w:tcPr>
            <w:tcW w:w="2550" w:type="dxa"/>
            <w:noWrap/>
            <w:hideMark/>
          </w:tcPr>
          <w:p w14:paraId="177653BC" w14:textId="77777777" w:rsidR="008C7033" w:rsidRPr="002215BD" w:rsidRDefault="008C7033" w:rsidP="00AB5E2B">
            <w:pPr>
              <w:spacing w:after="0" w:line="240" w:lineRule="auto"/>
            </w:pPr>
            <w:r w:rsidRPr="002215BD">
              <w:t>2003</w:t>
            </w:r>
          </w:p>
        </w:tc>
        <w:tc>
          <w:tcPr>
            <w:tcW w:w="2550" w:type="dxa"/>
            <w:noWrap/>
            <w:hideMark/>
          </w:tcPr>
          <w:p w14:paraId="31771C5A" w14:textId="77777777" w:rsidR="008C7033" w:rsidRPr="002215BD" w:rsidRDefault="008C7033" w:rsidP="00AB5E2B">
            <w:pPr>
              <w:spacing w:after="0" w:line="240" w:lineRule="auto"/>
            </w:pPr>
            <w:r w:rsidRPr="002215BD">
              <w:t>187,104</w:t>
            </w:r>
          </w:p>
        </w:tc>
        <w:tc>
          <w:tcPr>
            <w:tcW w:w="2550" w:type="dxa"/>
            <w:noWrap/>
            <w:hideMark/>
          </w:tcPr>
          <w:p w14:paraId="4187865B" w14:textId="77777777" w:rsidR="008C7033" w:rsidRPr="002215BD" w:rsidRDefault="008C7033" w:rsidP="00AB5E2B">
            <w:pPr>
              <w:spacing w:after="0" w:line="240" w:lineRule="auto"/>
            </w:pPr>
            <w:r w:rsidRPr="002215BD">
              <w:t>3,547</w:t>
            </w:r>
          </w:p>
        </w:tc>
      </w:tr>
      <w:tr w:rsidR="008C7033" w:rsidRPr="002215BD" w14:paraId="7A29BE10" w14:textId="77777777" w:rsidTr="00AB5E2B">
        <w:trPr>
          <w:trHeight w:val="300"/>
          <w:jc w:val="center"/>
        </w:trPr>
        <w:tc>
          <w:tcPr>
            <w:tcW w:w="2550" w:type="dxa"/>
            <w:noWrap/>
            <w:hideMark/>
          </w:tcPr>
          <w:p w14:paraId="5DD747DD" w14:textId="77777777" w:rsidR="008C7033" w:rsidRPr="002215BD" w:rsidRDefault="008C7033" w:rsidP="00AB5E2B">
            <w:pPr>
              <w:spacing w:after="0" w:line="240" w:lineRule="auto"/>
            </w:pPr>
            <w:r w:rsidRPr="002215BD">
              <w:t>2004</w:t>
            </w:r>
          </w:p>
        </w:tc>
        <w:tc>
          <w:tcPr>
            <w:tcW w:w="2550" w:type="dxa"/>
            <w:noWrap/>
            <w:hideMark/>
          </w:tcPr>
          <w:p w14:paraId="26ECCA9E" w14:textId="77777777" w:rsidR="008C7033" w:rsidRPr="002215BD" w:rsidRDefault="008C7033" w:rsidP="00AB5E2B">
            <w:pPr>
              <w:spacing w:after="0" w:line="240" w:lineRule="auto"/>
            </w:pPr>
            <w:r w:rsidRPr="002215BD">
              <w:t>181,413</w:t>
            </w:r>
          </w:p>
        </w:tc>
        <w:tc>
          <w:tcPr>
            <w:tcW w:w="2550" w:type="dxa"/>
            <w:noWrap/>
            <w:hideMark/>
          </w:tcPr>
          <w:p w14:paraId="6525E75D" w14:textId="77777777" w:rsidR="008C7033" w:rsidRPr="002215BD" w:rsidRDefault="008C7033" w:rsidP="00AB5E2B">
            <w:pPr>
              <w:spacing w:after="0" w:line="240" w:lineRule="auto"/>
            </w:pPr>
            <w:r w:rsidRPr="002215BD">
              <w:t>3,387</w:t>
            </w:r>
          </w:p>
        </w:tc>
      </w:tr>
      <w:tr w:rsidR="008C7033" w:rsidRPr="002215BD" w14:paraId="4B3725D1" w14:textId="77777777" w:rsidTr="00AB5E2B">
        <w:trPr>
          <w:trHeight w:val="300"/>
          <w:jc w:val="center"/>
        </w:trPr>
        <w:tc>
          <w:tcPr>
            <w:tcW w:w="2550" w:type="dxa"/>
            <w:noWrap/>
            <w:hideMark/>
          </w:tcPr>
          <w:p w14:paraId="2E6D5F81" w14:textId="77777777" w:rsidR="008C7033" w:rsidRPr="002215BD" w:rsidRDefault="008C7033" w:rsidP="00AB5E2B">
            <w:pPr>
              <w:spacing w:after="0" w:line="240" w:lineRule="auto"/>
            </w:pPr>
            <w:r w:rsidRPr="002215BD">
              <w:t>2005</w:t>
            </w:r>
          </w:p>
        </w:tc>
        <w:tc>
          <w:tcPr>
            <w:tcW w:w="2550" w:type="dxa"/>
            <w:noWrap/>
            <w:hideMark/>
          </w:tcPr>
          <w:p w14:paraId="34F59CB9" w14:textId="77777777" w:rsidR="008C7033" w:rsidRPr="002215BD" w:rsidRDefault="008C7033" w:rsidP="00AB5E2B">
            <w:pPr>
              <w:spacing w:after="0" w:line="240" w:lineRule="auto"/>
            </w:pPr>
            <w:r w:rsidRPr="002215BD">
              <w:t>157,829</w:t>
            </w:r>
          </w:p>
        </w:tc>
        <w:tc>
          <w:tcPr>
            <w:tcW w:w="2550" w:type="dxa"/>
            <w:noWrap/>
            <w:hideMark/>
          </w:tcPr>
          <w:p w14:paraId="4D8A3C46" w14:textId="77777777" w:rsidR="008C7033" w:rsidRPr="002215BD" w:rsidRDefault="008C7033" w:rsidP="00AB5E2B">
            <w:pPr>
              <w:spacing w:after="0" w:line="240" w:lineRule="auto"/>
            </w:pPr>
            <w:r w:rsidRPr="002215BD">
              <w:t>3,146</w:t>
            </w:r>
          </w:p>
        </w:tc>
      </w:tr>
      <w:tr w:rsidR="008C7033" w:rsidRPr="002215BD" w14:paraId="1C057794" w14:textId="77777777" w:rsidTr="00AB5E2B">
        <w:trPr>
          <w:trHeight w:val="300"/>
          <w:jc w:val="center"/>
        </w:trPr>
        <w:tc>
          <w:tcPr>
            <w:tcW w:w="2550" w:type="dxa"/>
            <w:noWrap/>
            <w:hideMark/>
          </w:tcPr>
          <w:p w14:paraId="1DB29B58" w14:textId="77777777" w:rsidR="008C7033" w:rsidRPr="002215BD" w:rsidRDefault="008C7033" w:rsidP="00AB5E2B">
            <w:pPr>
              <w:spacing w:after="0" w:line="240" w:lineRule="auto"/>
            </w:pPr>
            <w:r w:rsidRPr="002215BD">
              <w:t>2006</w:t>
            </w:r>
          </w:p>
        </w:tc>
        <w:tc>
          <w:tcPr>
            <w:tcW w:w="2550" w:type="dxa"/>
            <w:noWrap/>
            <w:hideMark/>
          </w:tcPr>
          <w:p w14:paraId="67FE3F54" w14:textId="77777777" w:rsidR="008C7033" w:rsidRPr="002215BD" w:rsidRDefault="008C7033" w:rsidP="00AB5E2B">
            <w:pPr>
              <w:spacing w:after="0" w:line="240" w:lineRule="auto"/>
            </w:pPr>
            <w:r w:rsidRPr="002215BD">
              <w:t>196,489</w:t>
            </w:r>
          </w:p>
        </w:tc>
        <w:tc>
          <w:tcPr>
            <w:tcW w:w="2550" w:type="dxa"/>
            <w:noWrap/>
            <w:hideMark/>
          </w:tcPr>
          <w:p w14:paraId="1FD07AD8" w14:textId="77777777" w:rsidR="008C7033" w:rsidRPr="002215BD" w:rsidRDefault="008C7033" w:rsidP="00AB5E2B">
            <w:pPr>
              <w:spacing w:after="0" w:line="240" w:lineRule="auto"/>
            </w:pPr>
            <w:r w:rsidRPr="002215BD">
              <w:t>3,841</w:t>
            </w:r>
          </w:p>
        </w:tc>
      </w:tr>
      <w:tr w:rsidR="008C7033" w:rsidRPr="002215BD" w14:paraId="1BCDB019" w14:textId="77777777" w:rsidTr="00AB5E2B">
        <w:trPr>
          <w:trHeight w:val="300"/>
          <w:jc w:val="center"/>
        </w:trPr>
        <w:tc>
          <w:tcPr>
            <w:tcW w:w="2550" w:type="dxa"/>
            <w:noWrap/>
            <w:hideMark/>
          </w:tcPr>
          <w:p w14:paraId="18C92AB5" w14:textId="77777777" w:rsidR="008C7033" w:rsidRPr="002215BD" w:rsidRDefault="008C7033" w:rsidP="00AB5E2B">
            <w:pPr>
              <w:spacing w:after="0" w:line="240" w:lineRule="auto"/>
            </w:pPr>
            <w:r w:rsidRPr="002215BD">
              <w:t>2007</w:t>
            </w:r>
          </w:p>
        </w:tc>
        <w:tc>
          <w:tcPr>
            <w:tcW w:w="2550" w:type="dxa"/>
            <w:noWrap/>
            <w:hideMark/>
          </w:tcPr>
          <w:p w14:paraId="78780F3B" w14:textId="77777777" w:rsidR="008C7033" w:rsidRPr="002215BD" w:rsidRDefault="008C7033" w:rsidP="00AB5E2B">
            <w:pPr>
              <w:spacing w:after="0" w:line="240" w:lineRule="auto"/>
            </w:pPr>
            <w:r w:rsidRPr="002215BD">
              <w:t>182,978</w:t>
            </w:r>
          </w:p>
        </w:tc>
        <w:tc>
          <w:tcPr>
            <w:tcW w:w="2550" w:type="dxa"/>
            <w:noWrap/>
            <w:hideMark/>
          </w:tcPr>
          <w:p w14:paraId="30ED5474" w14:textId="77777777" w:rsidR="008C7033" w:rsidRPr="002215BD" w:rsidRDefault="008C7033" w:rsidP="00AB5E2B">
            <w:pPr>
              <w:spacing w:after="0" w:line="240" w:lineRule="auto"/>
            </w:pPr>
            <w:r w:rsidRPr="002215BD">
              <w:t>3,563</w:t>
            </w:r>
          </w:p>
        </w:tc>
      </w:tr>
      <w:tr w:rsidR="008C7033" w:rsidRPr="002215BD" w14:paraId="2339AD64" w14:textId="77777777" w:rsidTr="00AB5E2B">
        <w:trPr>
          <w:trHeight w:val="300"/>
          <w:jc w:val="center"/>
        </w:trPr>
        <w:tc>
          <w:tcPr>
            <w:tcW w:w="2550" w:type="dxa"/>
            <w:noWrap/>
            <w:hideMark/>
          </w:tcPr>
          <w:p w14:paraId="3CE96D46" w14:textId="77777777" w:rsidR="008C7033" w:rsidRPr="002215BD" w:rsidRDefault="008C7033" w:rsidP="00AB5E2B">
            <w:pPr>
              <w:spacing w:after="0" w:line="240" w:lineRule="auto"/>
            </w:pPr>
            <w:r w:rsidRPr="002215BD">
              <w:t>2008</w:t>
            </w:r>
          </w:p>
        </w:tc>
        <w:tc>
          <w:tcPr>
            <w:tcW w:w="2550" w:type="dxa"/>
            <w:noWrap/>
            <w:hideMark/>
          </w:tcPr>
          <w:p w14:paraId="6211E720" w14:textId="77777777" w:rsidR="008C7033" w:rsidRPr="002215BD" w:rsidRDefault="008C7033" w:rsidP="00AB5E2B">
            <w:pPr>
              <w:spacing w:after="0" w:line="240" w:lineRule="auto"/>
            </w:pPr>
            <w:r w:rsidRPr="002215BD">
              <w:t>185,260</w:t>
            </w:r>
          </w:p>
        </w:tc>
        <w:tc>
          <w:tcPr>
            <w:tcW w:w="2550" w:type="dxa"/>
            <w:noWrap/>
            <w:hideMark/>
          </w:tcPr>
          <w:p w14:paraId="63DCA884" w14:textId="77777777" w:rsidR="008C7033" w:rsidRPr="002215BD" w:rsidRDefault="008C7033" w:rsidP="00AB5E2B">
            <w:pPr>
              <w:spacing w:after="0" w:line="240" w:lineRule="auto"/>
            </w:pPr>
            <w:r w:rsidRPr="002215BD">
              <w:t>3,495</w:t>
            </w:r>
          </w:p>
        </w:tc>
      </w:tr>
      <w:tr w:rsidR="008C7033" w:rsidRPr="002215BD" w14:paraId="7AC3DC02" w14:textId="77777777" w:rsidTr="00AB5E2B">
        <w:trPr>
          <w:trHeight w:val="300"/>
          <w:jc w:val="center"/>
        </w:trPr>
        <w:tc>
          <w:tcPr>
            <w:tcW w:w="2550" w:type="dxa"/>
            <w:noWrap/>
            <w:hideMark/>
          </w:tcPr>
          <w:p w14:paraId="76BD9C35" w14:textId="77777777" w:rsidR="008C7033" w:rsidRPr="002215BD" w:rsidRDefault="008C7033" w:rsidP="00AB5E2B">
            <w:pPr>
              <w:spacing w:after="0" w:line="240" w:lineRule="auto"/>
            </w:pPr>
            <w:r w:rsidRPr="002215BD">
              <w:t>2009</w:t>
            </w:r>
          </w:p>
        </w:tc>
        <w:tc>
          <w:tcPr>
            <w:tcW w:w="2550" w:type="dxa"/>
            <w:noWrap/>
            <w:hideMark/>
          </w:tcPr>
          <w:p w14:paraId="631E9703" w14:textId="77777777" w:rsidR="008C7033" w:rsidRPr="002215BD" w:rsidRDefault="008C7033" w:rsidP="00AB5E2B">
            <w:pPr>
              <w:spacing w:after="0" w:line="240" w:lineRule="auto"/>
            </w:pPr>
            <w:r w:rsidRPr="002215BD">
              <w:t>192,052</w:t>
            </w:r>
          </w:p>
        </w:tc>
        <w:tc>
          <w:tcPr>
            <w:tcW w:w="2550" w:type="dxa"/>
            <w:noWrap/>
            <w:hideMark/>
          </w:tcPr>
          <w:p w14:paraId="27942E60" w14:textId="77777777" w:rsidR="008C7033" w:rsidRPr="002215BD" w:rsidRDefault="008C7033" w:rsidP="00AB5E2B">
            <w:pPr>
              <w:spacing w:after="0" w:line="240" w:lineRule="auto"/>
            </w:pPr>
            <w:r w:rsidRPr="002215BD">
              <w:t>3,984</w:t>
            </w:r>
          </w:p>
        </w:tc>
      </w:tr>
      <w:tr w:rsidR="008C7033" w:rsidRPr="002215BD" w14:paraId="213C9830" w14:textId="77777777" w:rsidTr="00AB5E2B">
        <w:trPr>
          <w:trHeight w:val="300"/>
          <w:jc w:val="center"/>
        </w:trPr>
        <w:tc>
          <w:tcPr>
            <w:tcW w:w="2550" w:type="dxa"/>
            <w:noWrap/>
            <w:hideMark/>
          </w:tcPr>
          <w:p w14:paraId="46DC2F57" w14:textId="77777777" w:rsidR="008C7033" w:rsidRPr="002215BD" w:rsidRDefault="008C7033" w:rsidP="00AB5E2B">
            <w:pPr>
              <w:spacing w:after="0" w:line="240" w:lineRule="auto"/>
            </w:pPr>
            <w:r w:rsidRPr="002215BD">
              <w:t>2010</w:t>
            </w:r>
          </w:p>
        </w:tc>
        <w:tc>
          <w:tcPr>
            <w:tcW w:w="2550" w:type="dxa"/>
            <w:noWrap/>
            <w:hideMark/>
          </w:tcPr>
          <w:p w14:paraId="0810E4C4" w14:textId="77777777" w:rsidR="008C7033" w:rsidRPr="002215BD" w:rsidRDefault="008C7033" w:rsidP="00AB5E2B">
            <w:pPr>
              <w:spacing w:after="0" w:line="240" w:lineRule="auto"/>
            </w:pPr>
            <w:r w:rsidRPr="002215BD">
              <w:t>244,599</w:t>
            </w:r>
          </w:p>
        </w:tc>
        <w:tc>
          <w:tcPr>
            <w:tcW w:w="2550" w:type="dxa"/>
            <w:noWrap/>
            <w:hideMark/>
          </w:tcPr>
          <w:p w14:paraId="0B24E39C" w14:textId="77777777" w:rsidR="008C7033" w:rsidRPr="002215BD" w:rsidRDefault="008C7033" w:rsidP="00AB5E2B">
            <w:pPr>
              <w:spacing w:after="0" w:line="240" w:lineRule="auto"/>
            </w:pPr>
            <w:r w:rsidRPr="002215BD">
              <w:t>5,340</w:t>
            </w:r>
          </w:p>
        </w:tc>
      </w:tr>
      <w:tr w:rsidR="008C7033" w:rsidRPr="002215BD" w14:paraId="27D094EE" w14:textId="77777777" w:rsidTr="00AB5E2B">
        <w:trPr>
          <w:trHeight w:val="300"/>
          <w:jc w:val="center"/>
        </w:trPr>
        <w:tc>
          <w:tcPr>
            <w:tcW w:w="2550" w:type="dxa"/>
            <w:noWrap/>
            <w:hideMark/>
          </w:tcPr>
          <w:p w14:paraId="2CA72BFA" w14:textId="77777777" w:rsidR="008C7033" w:rsidRPr="002215BD" w:rsidRDefault="008C7033" w:rsidP="00AB5E2B">
            <w:pPr>
              <w:spacing w:after="0" w:line="240" w:lineRule="auto"/>
            </w:pPr>
            <w:r w:rsidRPr="002215BD">
              <w:t>2011</w:t>
            </w:r>
          </w:p>
        </w:tc>
        <w:tc>
          <w:tcPr>
            <w:tcW w:w="2550" w:type="dxa"/>
            <w:noWrap/>
            <w:hideMark/>
          </w:tcPr>
          <w:p w14:paraId="244ED4B0" w14:textId="77777777" w:rsidR="008C7033" w:rsidRPr="002215BD" w:rsidRDefault="008C7033" w:rsidP="00AB5E2B">
            <w:pPr>
              <w:spacing w:after="0" w:line="240" w:lineRule="auto"/>
            </w:pPr>
            <w:r w:rsidRPr="002215BD">
              <w:t>248,101</w:t>
            </w:r>
          </w:p>
        </w:tc>
        <w:tc>
          <w:tcPr>
            <w:tcW w:w="2550" w:type="dxa"/>
            <w:noWrap/>
            <w:hideMark/>
          </w:tcPr>
          <w:p w14:paraId="7F42269F" w14:textId="77777777" w:rsidR="008C7033" w:rsidRPr="002215BD" w:rsidRDefault="008C7033" w:rsidP="00AB5E2B">
            <w:pPr>
              <w:spacing w:after="0" w:line="240" w:lineRule="auto"/>
            </w:pPr>
            <w:r w:rsidRPr="002215BD">
              <w:t>5,402</w:t>
            </w:r>
          </w:p>
        </w:tc>
      </w:tr>
      <w:tr w:rsidR="008C7033" w:rsidRPr="002215BD" w14:paraId="772CD858" w14:textId="77777777" w:rsidTr="00AB5E2B">
        <w:trPr>
          <w:trHeight w:val="300"/>
          <w:jc w:val="center"/>
        </w:trPr>
        <w:tc>
          <w:tcPr>
            <w:tcW w:w="2550" w:type="dxa"/>
            <w:noWrap/>
            <w:hideMark/>
          </w:tcPr>
          <w:p w14:paraId="07EE28FC" w14:textId="77777777" w:rsidR="008C7033" w:rsidRPr="002215BD" w:rsidRDefault="008C7033" w:rsidP="00AB5E2B">
            <w:pPr>
              <w:spacing w:after="0" w:line="240" w:lineRule="auto"/>
            </w:pPr>
            <w:r w:rsidRPr="002215BD">
              <w:t>2012</w:t>
            </w:r>
          </w:p>
        </w:tc>
        <w:tc>
          <w:tcPr>
            <w:tcW w:w="2550" w:type="dxa"/>
            <w:noWrap/>
            <w:hideMark/>
          </w:tcPr>
          <w:p w14:paraId="56A6F9B4" w14:textId="77777777" w:rsidR="008C7033" w:rsidRPr="002215BD" w:rsidRDefault="008C7033" w:rsidP="00AB5E2B">
            <w:pPr>
              <w:spacing w:after="0" w:line="240" w:lineRule="auto"/>
            </w:pPr>
            <w:r w:rsidRPr="002215BD">
              <w:t>277,285</w:t>
            </w:r>
          </w:p>
        </w:tc>
        <w:tc>
          <w:tcPr>
            <w:tcW w:w="2550" w:type="dxa"/>
            <w:noWrap/>
            <w:hideMark/>
          </w:tcPr>
          <w:p w14:paraId="5EC64408" w14:textId="77777777" w:rsidR="008C7033" w:rsidRPr="002215BD" w:rsidRDefault="008C7033" w:rsidP="00AB5E2B">
            <w:pPr>
              <w:spacing w:after="0" w:line="240" w:lineRule="auto"/>
            </w:pPr>
            <w:r w:rsidRPr="002215BD">
              <w:t>6,266</w:t>
            </w:r>
          </w:p>
        </w:tc>
      </w:tr>
      <w:tr w:rsidR="008C7033" w:rsidRPr="002215BD" w14:paraId="62F9EEC1" w14:textId="77777777" w:rsidTr="00AB5E2B">
        <w:trPr>
          <w:trHeight w:val="300"/>
          <w:jc w:val="center"/>
        </w:trPr>
        <w:tc>
          <w:tcPr>
            <w:tcW w:w="2550" w:type="dxa"/>
            <w:noWrap/>
            <w:hideMark/>
          </w:tcPr>
          <w:p w14:paraId="0E74A853" w14:textId="77777777" w:rsidR="008C7033" w:rsidRPr="002215BD" w:rsidRDefault="008C7033" w:rsidP="00AB5E2B">
            <w:pPr>
              <w:spacing w:after="0" w:line="240" w:lineRule="auto"/>
            </w:pPr>
            <w:r w:rsidRPr="002215BD">
              <w:t>2013</w:t>
            </w:r>
          </w:p>
        </w:tc>
        <w:tc>
          <w:tcPr>
            <w:tcW w:w="2550" w:type="dxa"/>
            <w:noWrap/>
            <w:hideMark/>
          </w:tcPr>
          <w:p w14:paraId="2C6A3179" w14:textId="77777777" w:rsidR="008C7033" w:rsidRPr="002215BD" w:rsidRDefault="008C7033" w:rsidP="00AB5E2B">
            <w:pPr>
              <w:spacing w:after="0" w:line="240" w:lineRule="auto"/>
            </w:pPr>
            <w:r w:rsidRPr="002215BD">
              <w:t>303,658</w:t>
            </w:r>
          </w:p>
        </w:tc>
        <w:tc>
          <w:tcPr>
            <w:tcW w:w="2550" w:type="dxa"/>
            <w:noWrap/>
            <w:hideMark/>
          </w:tcPr>
          <w:p w14:paraId="00F8C714" w14:textId="77777777" w:rsidR="008C7033" w:rsidRPr="002215BD" w:rsidRDefault="008C7033" w:rsidP="00AB5E2B">
            <w:pPr>
              <w:spacing w:after="0" w:line="240" w:lineRule="auto"/>
            </w:pPr>
            <w:r w:rsidRPr="002215BD">
              <w:t>6,719</w:t>
            </w:r>
          </w:p>
        </w:tc>
      </w:tr>
      <w:tr w:rsidR="008C7033" w:rsidRPr="002215BD" w14:paraId="24B0F05D" w14:textId="77777777" w:rsidTr="00AB5E2B">
        <w:trPr>
          <w:trHeight w:val="300"/>
          <w:jc w:val="center"/>
        </w:trPr>
        <w:tc>
          <w:tcPr>
            <w:tcW w:w="2550" w:type="dxa"/>
            <w:noWrap/>
            <w:hideMark/>
          </w:tcPr>
          <w:p w14:paraId="29494D90" w14:textId="77777777" w:rsidR="008C7033" w:rsidRPr="002215BD" w:rsidRDefault="008C7033" w:rsidP="00AB5E2B">
            <w:pPr>
              <w:spacing w:after="0" w:line="240" w:lineRule="auto"/>
            </w:pPr>
            <w:r w:rsidRPr="002215BD">
              <w:t>2014</w:t>
            </w:r>
          </w:p>
        </w:tc>
        <w:tc>
          <w:tcPr>
            <w:tcW w:w="2550" w:type="dxa"/>
            <w:noWrap/>
            <w:hideMark/>
          </w:tcPr>
          <w:p w14:paraId="7C315E62" w14:textId="77777777" w:rsidR="008C7033" w:rsidRPr="002215BD" w:rsidRDefault="008C7033" w:rsidP="00AB5E2B">
            <w:pPr>
              <w:spacing w:after="0" w:line="240" w:lineRule="auto"/>
            </w:pPr>
            <w:r w:rsidRPr="002215BD">
              <w:t>327,014</w:t>
            </w:r>
          </w:p>
        </w:tc>
        <w:tc>
          <w:tcPr>
            <w:tcW w:w="2550" w:type="dxa"/>
            <w:noWrap/>
            <w:hideMark/>
          </w:tcPr>
          <w:p w14:paraId="0CFEC3F9" w14:textId="77777777" w:rsidR="008C7033" w:rsidRPr="002215BD" w:rsidRDefault="008C7033" w:rsidP="00AB5E2B">
            <w:pPr>
              <w:spacing w:after="0" w:line="240" w:lineRule="auto"/>
            </w:pPr>
            <w:r w:rsidRPr="002215BD">
              <w:t>7,095</w:t>
            </w:r>
          </w:p>
        </w:tc>
      </w:tr>
      <w:tr w:rsidR="008C7033" w:rsidRPr="002215BD" w14:paraId="61DDD080" w14:textId="77777777" w:rsidTr="00AB5E2B">
        <w:trPr>
          <w:trHeight w:val="300"/>
          <w:jc w:val="center"/>
        </w:trPr>
        <w:tc>
          <w:tcPr>
            <w:tcW w:w="2550" w:type="dxa"/>
            <w:noWrap/>
            <w:hideMark/>
          </w:tcPr>
          <w:p w14:paraId="3301EF83" w14:textId="77777777" w:rsidR="008C7033" w:rsidRPr="002215BD" w:rsidRDefault="008C7033" w:rsidP="00AB5E2B">
            <w:pPr>
              <w:spacing w:after="0" w:line="240" w:lineRule="auto"/>
            </w:pPr>
            <w:r w:rsidRPr="002215BD">
              <w:t>2015</w:t>
            </w:r>
          </w:p>
        </w:tc>
        <w:tc>
          <w:tcPr>
            <w:tcW w:w="2550" w:type="dxa"/>
            <w:noWrap/>
            <w:hideMark/>
          </w:tcPr>
          <w:p w14:paraId="6C4E3241" w14:textId="77777777" w:rsidR="008C7033" w:rsidRPr="002215BD" w:rsidRDefault="008C7033" w:rsidP="00AB5E2B">
            <w:pPr>
              <w:spacing w:after="0" w:line="240" w:lineRule="auto"/>
            </w:pPr>
            <w:r w:rsidRPr="002215BD">
              <w:t>326,969</w:t>
            </w:r>
          </w:p>
        </w:tc>
        <w:tc>
          <w:tcPr>
            <w:tcW w:w="2550" w:type="dxa"/>
            <w:noWrap/>
            <w:hideMark/>
          </w:tcPr>
          <w:p w14:paraId="0EEAD443" w14:textId="77777777" w:rsidR="008C7033" w:rsidRPr="002215BD" w:rsidRDefault="008C7033" w:rsidP="00AB5E2B">
            <w:pPr>
              <w:spacing w:after="0" w:line="240" w:lineRule="auto"/>
            </w:pPr>
            <w:r w:rsidRPr="002215BD">
              <w:t>6,945</w:t>
            </w:r>
          </w:p>
        </w:tc>
      </w:tr>
      <w:tr w:rsidR="008C7033" w:rsidRPr="002215BD" w14:paraId="0D1F85A8" w14:textId="77777777" w:rsidTr="00AB5E2B">
        <w:trPr>
          <w:trHeight w:val="300"/>
          <w:jc w:val="center"/>
        </w:trPr>
        <w:tc>
          <w:tcPr>
            <w:tcW w:w="2550" w:type="dxa"/>
            <w:noWrap/>
            <w:hideMark/>
          </w:tcPr>
          <w:p w14:paraId="1594A741" w14:textId="77777777" w:rsidR="008C7033" w:rsidRPr="002215BD" w:rsidRDefault="008C7033" w:rsidP="00AB5E2B">
            <w:pPr>
              <w:spacing w:after="0" w:line="240" w:lineRule="auto"/>
            </w:pPr>
            <w:r w:rsidRPr="002215BD">
              <w:t>2016</w:t>
            </w:r>
          </w:p>
        </w:tc>
        <w:tc>
          <w:tcPr>
            <w:tcW w:w="2550" w:type="dxa"/>
            <w:noWrap/>
            <w:hideMark/>
          </w:tcPr>
          <w:p w14:paraId="02E1198C" w14:textId="77777777" w:rsidR="008C7033" w:rsidRPr="002215BD" w:rsidRDefault="008C7033" w:rsidP="00AB5E2B">
            <w:pPr>
              <w:spacing w:after="0" w:line="240" w:lineRule="auto"/>
            </w:pPr>
            <w:r w:rsidRPr="002215BD">
              <w:t>334,674</w:t>
            </w:r>
          </w:p>
        </w:tc>
        <w:tc>
          <w:tcPr>
            <w:tcW w:w="2550" w:type="dxa"/>
            <w:noWrap/>
            <w:hideMark/>
          </w:tcPr>
          <w:p w14:paraId="109DB46D" w14:textId="77777777" w:rsidR="008C7033" w:rsidRPr="002215BD" w:rsidRDefault="008C7033" w:rsidP="00AB5E2B">
            <w:pPr>
              <w:spacing w:after="0" w:line="240" w:lineRule="auto"/>
            </w:pPr>
            <w:r w:rsidRPr="002215BD">
              <w:t>6,801</w:t>
            </w:r>
          </w:p>
        </w:tc>
      </w:tr>
      <w:tr w:rsidR="008C7033" w:rsidRPr="002215BD" w14:paraId="62571F7D" w14:textId="77777777" w:rsidTr="00AB5E2B">
        <w:trPr>
          <w:trHeight w:val="300"/>
          <w:jc w:val="center"/>
        </w:trPr>
        <w:tc>
          <w:tcPr>
            <w:tcW w:w="2550" w:type="dxa"/>
            <w:tcBorders>
              <w:bottom w:val="single" w:sz="4" w:space="0" w:color="auto"/>
            </w:tcBorders>
            <w:noWrap/>
            <w:hideMark/>
          </w:tcPr>
          <w:p w14:paraId="0D573029" w14:textId="77777777" w:rsidR="008C7033" w:rsidRPr="002215BD" w:rsidRDefault="008C7033" w:rsidP="00AB5E2B">
            <w:pPr>
              <w:spacing w:after="0" w:line="240" w:lineRule="auto"/>
            </w:pPr>
            <w:r w:rsidRPr="002215BD">
              <w:t>2017</w:t>
            </w:r>
          </w:p>
        </w:tc>
        <w:tc>
          <w:tcPr>
            <w:tcW w:w="2550" w:type="dxa"/>
            <w:tcBorders>
              <w:bottom w:val="single" w:sz="4" w:space="0" w:color="auto"/>
            </w:tcBorders>
            <w:noWrap/>
            <w:hideMark/>
          </w:tcPr>
          <w:p w14:paraId="64DF5C39" w14:textId="77777777" w:rsidR="008C7033" w:rsidRPr="002215BD" w:rsidRDefault="008C7033" w:rsidP="00AB5E2B">
            <w:pPr>
              <w:spacing w:after="0" w:line="240" w:lineRule="auto"/>
            </w:pPr>
            <w:r w:rsidRPr="002215BD">
              <w:t>352,585</w:t>
            </w:r>
          </w:p>
        </w:tc>
        <w:tc>
          <w:tcPr>
            <w:tcW w:w="2550" w:type="dxa"/>
            <w:tcBorders>
              <w:bottom w:val="single" w:sz="4" w:space="0" w:color="auto"/>
            </w:tcBorders>
            <w:noWrap/>
            <w:hideMark/>
          </w:tcPr>
          <w:p w14:paraId="67E1F3E9" w14:textId="77777777" w:rsidR="008C7033" w:rsidRPr="002215BD" w:rsidRDefault="008C7033" w:rsidP="00AB5E2B">
            <w:pPr>
              <w:spacing w:after="0" w:line="240" w:lineRule="auto"/>
            </w:pPr>
            <w:r w:rsidRPr="002215BD">
              <w:t>7,279</w:t>
            </w:r>
          </w:p>
        </w:tc>
      </w:tr>
      <w:tr w:rsidR="008C7033" w:rsidRPr="002215BD" w14:paraId="26443275" w14:textId="77777777" w:rsidTr="00AB5E2B">
        <w:trPr>
          <w:trHeight w:val="300"/>
          <w:jc w:val="center"/>
        </w:trPr>
        <w:tc>
          <w:tcPr>
            <w:tcW w:w="2550" w:type="dxa"/>
            <w:tcBorders>
              <w:top w:val="single" w:sz="4" w:space="0" w:color="auto"/>
              <w:bottom w:val="single" w:sz="4" w:space="0" w:color="auto"/>
            </w:tcBorders>
            <w:noWrap/>
            <w:hideMark/>
          </w:tcPr>
          <w:p w14:paraId="435FE330" w14:textId="77777777" w:rsidR="008C7033" w:rsidRPr="002215BD" w:rsidRDefault="008C7033" w:rsidP="00AB5E2B">
            <w:pPr>
              <w:spacing w:after="0" w:line="240" w:lineRule="auto"/>
              <w:rPr>
                <w:b/>
              </w:rPr>
            </w:pPr>
            <w:r w:rsidRPr="002215BD">
              <w:rPr>
                <w:b/>
              </w:rPr>
              <w:t>Average growth rate</w:t>
            </w:r>
          </w:p>
        </w:tc>
        <w:tc>
          <w:tcPr>
            <w:tcW w:w="2550" w:type="dxa"/>
            <w:tcBorders>
              <w:top w:val="single" w:sz="4" w:space="0" w:color="auto"/>
              <w:bottom w:val="single" w:sz="4" w:space="0" w:color="auto"/>
            </w:tcBorders>
            <w:noWrap/>
            <w:hideMark/>
          </w:tcPr>
          <w:p w14:paraId="509B8E0A" w14:textId="77777777" w:rsidR="008C7033" w:rsidRPr="00EA6DFE" w:rsidRDefault="008C7033" w:rsidP="00AB5E2B">
            <w:pPr>
              <w:spacing w:after="0" w:line="240" w:lineRule="auto"/>
              <w:rPr>
                <w:highlight w:val="yellow"/>
              </w:rPr>
            </w:pPr>
            <w:r w:rsidRPr="00EA6DFE">
              <w:rPr>
                <w:highlight w:val="yellow"/>
              </w:rPr>
              <w:t>5.05%</w:t>
            </w:r>
          </w:p>
        </w:tc>
        <w:tc>
          <w:tcPr>
            <w:tcW w:w="2550" w:type="dxa"/>
            <w:tcBorders>
              <w:top w:val="single" w:sz="4" w:space="0" w:color="auto"/>
              <w:bottom w:val="single" w:sz="4" w:space="0" w:color="auto"/>
            </w:tcBorders>
            <w:noWrap/>
            <w:hideMark/>
          </w:tcPr>
          <w:p w14:paraId="7AA4FB28" w14:textId="77777777" w:rsidR="008C7033" w:rsidRPr="00EA6DFE" w:rsidRDefault="008C7033" w:rsidP="00AB5E2B">
            <w:pPr>
              <w:spacing w:after="0" w:line="240" w:lineRule="auto"/>
              <w:rPr>
                <w:highlight w:val="yellow"/>
              </w:rPr>
            </w:pPr>
            <w:r w:rsidRPr="00EA6DFE">
              <w:rPr>
                <w:highlight w:val="yellow"/>
              </w:rPr>
              <w:t>5.34%</w:t>
            </w:r>
          </w:p>
        </w:tc>
      </w:tr>
    </w:tbl>
    <w:p w14:paraId="21506EF9" w14:textId="77777777" w:rsidR="00C5172F" w:rsidRPr="002F3DE5" w:rsidRDefault="00C5172F" w:rsidP="00C5172F">
      <w:pPr>
        <w:rPr>
          <w:rFonts w:ascii="Segoe UI" w:hAnsi="Segoe UI" w:cs="Segoe UI"/>
        </w:rPr>
      </w:pPr>
    </w:p>
    <w:p w14:paraId="25BE1057" w14:textId="77777777" w:rsidR="00C5172F" w:rsidRPr="00677B67" w:rsidRDefault="002D3FE9" w:rsidP="00C5172F">
      <w:pPr>
        <w:rPr>
          <w:rFonts w:ascii="Cambria" w:hAnsi="Cambria" w:cs="Segoe UI"/>
          <w:b/>
          <w:sz w:val="28"/>
          <w:szCs w:val="28"/>
        </w:rPr>
      </w:pPr>
      <w:r w:rsidRPr="00677B67">
        <w:rPr>
          <w:rFonts w:ascii="Cambria" w:hAnsi="Cambria" w:cs="Segoe UI"/>
          <w:b/>
          <w:sz w:val="28"/>
          <w:szCs w:val="28"/>
        </w:rPr>
        <w:t>Ap</w:t>
      </w:r>
      <w:r w:rsidR="000B1D4A" w:rsidRPr="00677B67">
        <w:rPr>
          <w:rFonts w:ascii="Cambria" w:hAnsi="Cambria" w:cs="Segoe UI"/>
          <w:b/>
          <w:sz w:val="28"/>
          <w:szCs w:val="28"/>
        </w:rPr>
        <w:t>pendix C: Top funding input to invention output flows</w:t>
      </w:r>
    </w:p>
    <w:p w14:paraId="078590D5" w14:textId="77777777" w:rsidR="000B1D4A" w:rsidRDefault="000B1D4A" w:rsidP="000B1D4A">
      <w:r>
        <w:t xml:space="preserve">The diagram below shows a detailed view of these differences by depicting 27 of the largest government interest flows, as measured in patents between government funding bodies and assignees. Large flows span between Department of Energy to prominent private sector firms operating select national laboratories.  For example, </w:t>
      </w:r>
      <w:r w:rsidRPr="00432171">
        <w:t>National Technology and Engineering Solutions of Sandia</w:t>
      </w:r>
      <w:r>
        <w:t xml:space="preserve">, a Honeywell subsidiary, manages and operates Sandia National Laboratories, one of three </w:t>
      </w:r>
      <w:r w:rsidRPr="00432171">
        <w:t>National Nuclear Security Administration research and development laboratories</w:t>
      </w:r>
      <w:r>
        <w:t xml:space="preserve">.  In contrast, Department of Defense funds R&amp;D work resulting in a significant amount of patenting activity assigned to large, well-known multi-national corporations, such as IBM, Raytheon, Boeing, and Honeywell.   DHHS, NSF, and NASA’s largest funding flows to universities, many of which have large medical and pharmaceutical research schools.  Interestingly, the University of California System, which includes 10 campuses and 3 national laboratories, is a top assignee for DoE, NSF, DoD, and DHHS.  MIT, on the other hand, is top assignee for NSF, DoD, and DHHS.  Finally, while NASA is more likely to fund R&amp;D resulting in private sector patenting than university patenting, the California Institute of Technology is a top NASA assignee; Caltech runs NASA’s Jet Propulsion Laboratory, a federally funded R&amp;D center located in Pasadena, California. </w:t>
      </w:r>
    </w:p>
    <w:p w14:paraId="2A11E9D6" w14:textId="77777777" w:rsidR="000B1D4A" w:rsidRDefault="000B1D4A" w:rsidP="000B1D4A"/>
    <w:p w14:paraId="0C4481E6" w14:textId="77777777" w:rsidR="000B1D4A" w:rsidRDefault="000B1D4A" w:rsidP="000B1D4A"/>
    <w:p w14:paraId="3B380F26" w14:textId="77777777" w:rsidR="000B1D4A" w:rsidRDefault="000B1D4A" w:rsidP="000B1D4A"/>
    <w:p w14:paraId="70AA004A" w14:textId="77777777" w:rsidR="000B1D4A" w:rsidRDefault="000B1D4A" w:rsidP="000B1D4A"/>
    <w:p w14:paraId="44DA0EC5" w14:textId="77777777" w:rsidR="000B1D4A" w:rsidRDefault="000B1D4A" w:rsidP="000B1D4A"/>
    <w:p w14:paraId="7C756704" w14:textId="77777777" w:rsidR="000B1D4A" w:rsidRDefault="000B1D4A" w:rsidP="000B1D4A">
      <w:pPr>
        <w:rPr>
          <w:b/>
        </w:rPr>
      </w:pPr>
      <w:r>
        <w:tab/>
      </w:r>
    </w:p>
    <w:p w14:paraId="3EFE0149" w14:textId="77777777" w:rsidR="000B1D4A" w:rsidRDefault="000B1D4A" w:rsidP="000B1D4A">
      <w:pPr>
        <w:rPr>
          <w:b/>
        </w:rPr>
      </w:pPr>
    </w:p>
    <w:p w14:paraId="318418AC" w14:textId="77777777" w:rsidR="000B1D4A" w:rsidRDefault="000B1D4A" w:rsidP="000B1D4A">
      <w:pPr>
        <w:rPr>
          <w:b/>
        </w:rPr>
      </w:pPr>
    </w:p>
    <w:p w14:paraId="33B35F71" w14:textId="77777777" w:rsidR="000B1D4A" w:rsidRDefault="000B1D4A" w:rsidP="000B1D4A">
      <w:pPr>
        <w:rPr>
          <w:b/>
        </w:rPr>
      </w:pPr>
    </w:p>
    <w:p w14:paraId="03614D8B" w14:textId="77777777" w:rsidR="000B1D4A" w:rsidRDefault="000B1D4A" w:rsidP="000B1D4A">
      <w:pPr>
        <w:rPr>
          <w:b/>
        </w:rPr>
      </w:pPr>
    </w:p>
    <w:p w14:paraId="46E878A8" w14:textId="77777777" w:rsidR="0001022F" w:rsidRDefault="0001022F" w:rsidP="000B1D4A">
      <w:pPr>
        <w:rPr>
          <w:b/>
        </w:rPr>
      </w:pPr>
    </w:p>
    <w:p w14:paraId="5F69907C" w14:textId="77777777" w:rsidR="0001022F" w:rsidRDefault="0001022F" w:rsidP="000B1D4A">
      <w:pPr>
        <w:rPr>
          <w:b/>
        </w:rPr>
      </w:pPr>
    </w:p>
    <w:p w14:paraId="6FD8BB83" w14:textId="77777777" w:rsidR="0001022F" w:rsidRDefault="0001022F" w:rsidP="000B1D4A">
      <w:pPr>
        <w:rPr>
          <w:b/>
        </w:rPr>
      </w:pPr>
    </w:p>
    <w:p w14:paraId="689E81F4" w14:textId="77777777" w:rsidR="0001022F" w:rsidRDefault="0001022F" w:rsidP="000B1D4A">
      <w:pPr>
        <w:rPr>
          <w:b/>
        </w:rPr>
      </w:pPr>
    </w:p>
    <w:p w14:paraId="23EC671A" w14:textId="77777777" w:rsidR="000B1D4A" w:rsidRDefault="000B1D4A" w:rsidP="000B1D4A">
      <w:pPr>
        <w:sectPr w:rsidR="000B1D4A" w:rsidSect="000E5896">
          <w:headerReference w:type="default" r:id="rId25"/>
          <w:footerReference w:type="even" r:id="rId26"/>
          <w:footerReference w:type="default" r:id="rId27"/>
          <w:pgSz w:w="12240" w:h="15840"/>
          <w:pgMar w:top="1440" w:right="1440" w:bottom="1440" w:left="1440" w:header="720" w:footer="720" w:gutter="0"/>
          <w:cols w:space="720"/>
          <w:docGrid w:linePitch="360"/>
        </w:sectPr>
      </w:pPr>
      <w:r w:rsidRPr="00A074E4">
        <w:rPr>
          <w:b/>
        </w:rPr>
        <w:t xml:space="preserve">Figure </w:t>
      </w:r>
      <w:r w:rsidR="008C7033">
        <w:rPr>
          <w:b/>
        </w:rPr>
        <w:t>A</w:t>
      </w:r>
      <w:r>
        <w:t>:  Top government interest to assignee patenting flows, 1980-201</w:t>
      </w:r>
      <w:r w:rsidR="002D24AF">
        <w:t>7</w:t>
      </w:r>
      <w:r w:rsidR="008C7033">
        <w:rPr>
          <w:noProof/>
        </w:rPr>
        <w:drawing>
          <wp:inline distT="0" distB="0" distL="0" distR="0" wp14:anchorId="5B3C9883" wp14:editId="3EB3B71A">
            <wp:extent cx="5943600" cy="4568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x_fig_sankey.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568825"/>
                    </a:xfrm>
                    <a:prstGeom prst="rect">
                      <a:avLst/>
                    </a:prstGeom>
                  </pic:spPr>
                </pic:pic>
              </a:graphicData>
            </a:graphic>
          </wp:inline>
        </w:drawing>
      </w:r>
    </w:p>
    <w:p w14:paraId="3F3C14C8" w14:textId="77777777" w:rsidR="002A1FE5" w:rsidRDefault="002A1FE5" w:rsidP="000B1D4A"/>
    <w:sectPr w:rsidR="002A1FE5" w:rsidSect="000B1D4A">
      <w:headerReference w:type="default" r:id="rId29"/>
      <w:footerReference w:type="default" r:id="rId3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yers, Amanda" w:date="2018-03-30T11:00:00Z" w:initials="MA">
    <w:p w14:paraId="0F842E4D" w14:textId="77777777" w:rsidR="00FB0C80" w:rsidRDefault="00FB0C80">
      <w:pPr>
        <w:pStyle w:val="CommentText"/>
      </w:pPr>
      <w:r>
        <w:rPr>
          <w:rStyle w:val="CommentReference"/>
        </w:rPr>
        <w:annotationRef/>
      </w:r>
      <w:r>
        <w:t>Figure still needs to be updated through 2017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842E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42E4D" w16cid:durableId="1F7D6E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106CE" w14:textId="77777777" w:rsidR="00737B30" w:rsidRDefault="00737B30" w:rsidP="00C5172F">
      <w:pPr>
        <w:spacing w:after="0" w:line="240" w:lineRule="auto"/>
      </w:pPr>
      <w:r>
        <w:separator/>
      </w:r>
    </w:p>
    <w:p w14:paraId="731ECF85" w14:textId="77777777" w:rsidR="00737B30" w:rsidRDefault="00737B30"/>
  </w:endnote>
  <w:endnote w:type="continuationSeparator" w:id="0">
    <w:p w14:paraId="6A7A9390" w14:textId="77777777" w:rsidR="00737B30" w:rsidRDefault="00737B30" w:rsidP="00C5172F">
      <w:pPr>
        <w:spacing w:after="0" w:line="240" w:lineRule="auto"/>
      </w:pPr>
      <w:r>
        <w:continuationSeparator/>
      </w:r>
    </w:p>
    <w:p w14:paraId="7B7BF631" w14:textId="77777777" w:rsidR="00737B30" w:rsidRDefault="00737B30"/>
  </w:endnote>
  <w:endnote w:type="continuationNotice" w:id="1">
    <w:p w14:paraId="2E3B3FBB" w14:textId="77777777" w:rsidR="00515AD7" w:rsidRDefault="00515A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8B090" w14:textId="77777777" w:rsidR="00FB0C80" w:rsidRDefault="00FB0C80" w:rsidP="002A1F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6A5E3A" w14:textId="77777777" w:rsidR="00FB0C80" w:rsidRDefault="00FB0C80" w:rsidP="002A1FE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E62" w14:textId="77777777" w:rsidR="00FB0C80" w:rsidRDefault="00FB0C80" w:rsidP="002A1F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0B07">
      <w:rPr>
        <w:rStyle w:val="PageNumber"/>
        <w:noProof/>
      </w:rPr>
      <w:t>1</w:t>
    </w:r>
    <w:r>
      <w:rPr>
        <w:rStyle w:val="PageNumber"/>
      </w:rPr>
      <w:fldChar w:fldCharType="end"/>
    </w:r>
  </w:p>
  <w:p w14:paraId="1640DA91" w14:textId="77777777" w:rsidR="00FB0C80" w:rsidRDefault="00FB0C80" w:rsidP="002A1FE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633038"/>
      <w:docPartObj>
        <w:docPartGallery w:val="Page Numbers (Bottom of Page)"/>
        <w:docPartUnique/>
      </w:docPartObj>
    </w:sdtPr>
    <w:sdtEndPr>
      <w:rPr>
        <w:noProof/>
      </w:rPr>
    </w:sdtEndPr>
    <w:sdtContent>
      <w:p w14:paraId="4924852D" w14:textId="77777777" w:rsidR="00FB0C80" w:rsidRDefault="00FB0C80">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1915E6DE" w14:textId="77777777" w:rsidR="00FB0C80" w:rsidRDefault="00FB0C80">
    <w:pPr>
      <w:pStyle w:val="Footer"/>
    </w:pPr>
  </w:p>
  <w:p w14:paraId="78468C1E" w14:textId="77777777" w:rsidR="00FB0C80" w:rsidRDefault="00FB0C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C631A" w14:textId="77777777" w:rsidR="00737B30" w:rsidRDefault="00737B30" w:rsidP="00C5172F">
      <w:pPr>
        <w:spacing w:after="0" w:line="240" w:lineRule="auto"/>
      </w:pPr>
      <w:r>
        <w:separator/>
      </w:r>
    </w:p>
    <w:p w14:paraId="18A2B623" w14:textId="77777777" w:rsidR="00737B30" w:rsidRDefault="00737B30"/>
  </w:footnote>
  <w:footnote w:type="continuationSeparator" w:id="0">
    <w:p w14:paraId="6A83FDA1" w14:textId="77777777" w:rsidR="00737B30" w:rsidRDefault="00737B30" w:rsidP="00C5172F">
      <w:pPr>
        <w:spacing w:after="0" w:line="240" w:lineRule="auto"/>
      </w:pPr>
      <w:r>
        <w:continuationSeparator/>
      </w:r>
    </w:p>
    <w:p w14:paraId="64A5F05D" w14:textId="77777777" w:rsidR="00737B30" w:rsidRDefault="00737B30"/>
  </w:footnote>
  <w:footnote w:type="continuationNotice" w:id="1">
    <w:p w14:paraId="5B8F86E9" w14:textId="77777777" w:rsidR="00515AD7" w:rsidRDefault="00515AD7">
      <w:pPr>
        <w:spacing w:after="0" w:line="240" w:lineRule="auto"/>
      </w:pPr>
    </w:p>
  </w:footnote>
  <w:footnote w:id="2">
    <w:p w14:paraId="7178E94A" w14:textId="77777777" w:rsidR="00FB0C80" w:rsidRDefault="00FB0C80">
      <w:pPr>
        <w:pStyle w:val="FootnoteText"/>
      </w:pPr>
      <w:r>
        <w:rPr>
          <w:rStyle w:val="FootnoteReference"/>
        </w:rPr>
        <w:footnoteRef/>
      </w:r>
      <w:r>
        <w:t xml:space="preserve"> </w:t>
      </w:r>
      <w:r w:rsidRPr="00347983">
        <w:t>The Patent and Trademark Law Amendments Act, more commonly called the Bayh-Dole Act, permits universities, small businesses, and nonprofit organizations to elect to retain ownership of inventions developed under federally-funded contracts, grants, or cooperative agreements.</w:t>
      </w:r>
      <w:r w:rsidRPr="00347983">
        <w:rPr>
          <w:rFonts w:cstheme="minorHAnsi"/>
          <w:sz w:val="18"/>
          <w:szCs w:val="18"/>
        </w:rPr>
        <w:t xml:space="preserve"> </w:t>
      </w:r>
      <w:r w:rsidRPr="00D349B7">
        <w:rPr>
          <w:rFonts w:cstheme="minorHAnsi"/>
          <w:sz w:val="18"/>
          <w:szCs w:val="18"/>
        </w:rPr>
        <w:t xml:space="preserve">35 U.S.C. § 202. </w:t>
      </w:r>
      <w:r w:rsidRPr="00461BE7">
        <w:t>The Federal Government, in turn, retains a nonexclusive, irrev</w:t>
      </w:r>
      <w:r>
        <w:t>ocable, and free license to utilize</w:t>
      </w:r>
      <w:r w:rsidRPr="00461BE7">
        <w:t xml:space="preserve"> </w:t>
      </w:r>
      <w:r>
        <w:t xml:space="preserve">the patented </w:t>
      </w:r>
      <w:r w:rsidRPr="00461BE7">
        <w:t>technology.</w:t>
      </w:r>
      <w:r>
        <w:t xml:space="preserve"> </w:t>
      </w:r>
      <w:r w:rsidRPr="00D349B7">
        <w:rPr>
          <w:rFonts w:cstheme="minorHAnsi"/>
          <w:sz w:val="18"/>
          <w:szCs w:val="18"/>
        </w:rPr>
        <w:t>35 U.S.C. § 202(c)(4); 37 C.F.R. § 401.14(b)</w:t>
      </w:r>
      <w:r>
        <w:rPr>
          <w:rFonts w:cstheme="minorHAnsi"/>
          <w:sz w:val="18"/>
          <w:szCs w:val="18"/>
        </w:rPr>
        <w:t xml:space="preserve"> </w:t>
      </w:r>
    </w:p>
  </w:footnote>
  <w:footnote w:id="3">
    <w:p w14:paraId="469AB065" w14:textId="77777777" w:rsidR="00FB0C80" w:rsidRDefault="00FB0C80" w:rsidP="005158EA">
      <w:pPr>
        <w:pStyle w:val="FootnoteText"/>
      </w:pPr>
      <w:r>
        <w:rPr>
          <w:rStyle w:val="FootnoteReference"/>
        </w:rPr>
        <w:footnoteRef/>
      </w:r>
      <w:r>
        <w:t xml:space="preserve"> </w:t>
      </w:r>
      <w:r w:rsidRPr="00D349B7">
        <w:rPr>
          <w:rFonts w:cstheme="minorHAnsi"/>
          <w:sz w:val="18"/>
          <w:szCs w:val="18"/>
        </w:rPr>
        <w:t>35 U.S.C. § 202(c)(6). Federal regulations further require the organization to include, within the specification of any U.S. patent application and any patent issuing thereon, the following statement “This invention was made with government support under (identify the contract award) awarded by (identify the agency). The government has certain rights in the invention.” 37 C.F.R. § 401.14)(f)(4).</w:t>
      </w:r>
    </w:p>
  </w:footnote>
  <w:footnote w:id="4">
    <w:p w14:paraId="376DFDEA" w14:textId="77777777" w:rsidR="00FB0C80" w:rsidRDefault="00FB0C80" w:rsidP="00D74389">
      <w:pPr>
        <w:pStyle w:val="FootnoteText"/>
      </w:pPr>
      <w:r>
        <w:rPr>
          <w:rStyle w:val="FootnoteReference"/>
        </w:rPr>
        <w:footnoteRef/>
      </w:r>
      <w:r>
        <w:t xml:space="preserve"> </w:t>
      </w:r>
      <w:r w:rsidRPr="00D74389">
        <w:rPr>
          <w:sz w:val="18"/>
          <w:szCs w:val="18"/>
        </w:rPr>
        <w:t>2016 Federal R&amp;D funding was imputed</w:t>
      </w:r>
      <w:r>
        <w:rPr>
          <w:sz w:val="18"/>
          <w:szCs w:val="18"/>
        </w:rPr>
        <w:t xml:space="preserve"> using Bureau of Economic Analysis deflators</w:t>
      </w:r>
      <w:r w:rsidRPr="00D74389">
        <w:rPr>
          <w:sz w:val="18"/>
          <w:szCs w:val="18"/>
        </w:rPr>
        <w:t>.</w:t>
      </w:r>
      <w:r>
        <w:t xml:space="preserve"> </w:t>
      </w:r>
    </w:p>
    <w:p w14:paraId="11B2D114" w14:textId="77777777" w:rsidR="00FB0C80" w:rsidRDefault="00FB0C80">
      <w:pPr>
        <w:pStyle w:val="FootnoteText"/>
      </w:pPr>
    </w:p>
  </w:footnote>
  <w:footnote w:id="5">
    <w:p w14:paraId="140BA24B" w14:textId="77777777" w:rsidR="00FB0C80" w:rsidRDefault="00FB0C80">
      <w:pPr>
        <w:pStyle w:val="FootnoteText"/>
      </w:pPr>
      <w:r>
        <w:rPr>
          <w:rStyle w:val="FootnoteReference"/>
        </w:rPr>
        <w:footnoteRef/>
      </w:r>
      <w:r>
        <w:t xml:space="preserve"> </w:t>
      </w:r>
      <w:r w:rsidRPr="00400D16">
        <w:rPr>
          <w:i/>
          <w:sz w:val="18"/>
          <w:szCs w:val="18"/>
        </w:rPr>
        <w:t>Sources</w:t>
      </w:r>
      <w:r w:rsidRPr="00400D16">
        <w:rPr>
          <w:sz w:val="18"/>
          <w:szCs w:val="18"/>
        </w:rPr>
        <w:t xml:space="preserve">: PatentsView and the American Association for the Advancement of Science.  Retrieved from </w:t>
      </w:r>
      <w:hyperlink r:id="rId1" w:anchor="Agency" w:history="1">
        <w:r w:rsidRPr="00400D16">
          <w:rPr>
            <w:rStyle w:val="Hyperlink"/>
            <w:sz w:val="18"/>
            <w:szCs w:val="18"/>
          </w:rPr>
          <w:t>https://www.aaas.org/page/historical-trends-federal-rd#Agency</w:t>
        </w:r>
      </w:hyperlink>
      <w:r w:rsidRPr="00400D16">
        <w:rPr>
          <w:sz w:val="18"/>
          <w:szCs w:val="18"/>
        </w:rPr>
        <w:t xml:space="preserve"> on January 5, 2018.</w:t>
      </w:r>
      <w:r>
        <w:t xml:space="preserve">  </w:t>
      </w:r>
    </w:p>
  </w:footnote>
  <w:footnote w:id="6">
    <w:p w14:paraId="1D5DC94D" w14:textId="77777777" w:rsidR="00FB0C80" w:rsidRDefault="00FB0C80">
      <w:pPr>
        <w:pStyle w:val="FootnoteText"/>
      </w:pPr>
      <w:r>
        <w:rPr>
          <w:rStyle w:val="FootnoteReference"/>
        </w:rPr>
        <w:footnoteRef/>
      </w:r>
      <w:r>
        <w:t xml:space="preserve"> [</w:t>
      </w:r>
      <w:r w:rsidRPr="00EA6DFE">
        <w:rPr>
          <w:highlight w:val="yellow"/>
        </w:rPr>
        <w:t>Table 2 in Appendix shows the proportion of all government interest patents for all technology fields.]</w:t>
      </w:r>
    </w:p>
  </w:footnote>
  <w:footnote w:id="7">
    <w:p w14:paraId="32004F56" w14:textId="77777777" w:rsidR="00FB0C80" w:rsidRDefault="00FB0C80" w:rsidP="00C5172F">
      <w:pPr>
        <w:pStyle w:val="FootnoteText"/>
      </w:pPr>
      <w:r w:rsidRPr="00400D16">
        <w:rPr>
          <w:rStyle w:val="FootnoteReference"/>
          <w:sz w:val="18"/>
          <w:szCs w:val="18"/>
        </w:rPr>
        <w:footnoteRef/>
      </w:r>
      <w:r w:rsidRPr="00400D16">
        <w:rPr>
          <w:sz w:val="18"/>
          <w:szCs w:val="18"/>
        </w:rPr>
        <w:t xml:space="preserve"> </w:t>
      </w:r>
      <w:r w:rsidRPr="00400D16">
        <w:rPr>
          <w:i/>
          <w:sz w:val="18"/>
          <w:szCs w:val="18"/>
        </w:rPr>
        <w:t>Sources</w:t>
      </w:r>
      <w:r w:rsidRPr="00400D16">
        <w:rPr>
          <w:sz w:val="18"/>
          <w:szCs w:val="18"/>
        </w:rPr>
        <w:t xml:space="preserve">: PatentsView and the American Association for the Advancement of Science.  Retrieved from </w:t>
      </w:r>
      <w:hyperlink r:id="rId2" w:anchor="Agency" w:history="1">
        <w:r w:rsidRPr="00400D16">
          <w:rPr>
            <w:rStyle w:val="Hyperlink"/>
            <w:sz w:val="18"/>
            <w:szCs w:val="18"/>
          </w:rPr>
          <w:t>https://www.aaas.org/page/historical-trends-federal-rd#Agency</w:t>
        </w:r>
      </w:hyperlink>
      <w:r w:rsidRPr="00400D16">
        <w:rPr>
          <w:sz w:val="18"/>
          <w:szCs w:val="18"/>
        </w:rPr>
        <w:t xml:space="preserve"> on January 5, 2018.</w:t>
      </w:r>
      <w:r>
        <w:t xml:space="preserve">  </w:t>
      </w:r>
    </w:p>
  </w:footnote>
  <w:footnote w:id="8">
    <w:p w14:paraId="50F07134" w14:textId="77777777" w:rsidR="00FB0C80" w:rsidRDefault="00FB0C80">
      <w:pPr>
        <w:pStyle w:val="FootnoteText"/>
      </w:pPr>
      <w:r>
        <w:rPr>
          <w:rStyle w:val="FootnoteReference"/>
        </w:rPr>
        <w:footnoteRef/>
      </w:r>
      <w:r>
        <w:t xml:space="preserve"> [Definition of high-level agency]</w:t>
      </w:r>
    </w:p>
  </w:footnote>
  <w:footnote w:id="9">
    <w:p w14:paraId="3333C55D" w14:textId="77777777" w:rsidR="00FB0C80" w:rsidRDefault="00FB0C80">
      <w:pPr>
        <w:pStyle w:val="FootnoteText"/>
      </w:pPr>
      <w:r>
        <w:rPr>
          <w:rStyle w:val="FootnoteReference"/>
        </w:rPr>
        <w:footnoteRef/>
      </w:r>
      <w:r>
        <w:t xml:space="preserve"> [These five agencies accounted for 80-84% of government interest patents granted in each year 2012-2016]</w:t>
      </w:r>
    </w:p>
  </w:footnote>
  <w:footnote w:id="10">
    <w:p w14:paraId="642742B8" w14:textId="77777777" w:rsidR="00FB0C80" w:rsidRDefault="00FB0C80">
      <w:pPr>
        <w:pStyle w:val="FootnoteText"/>
      </w:pPr>
      <w:r>
        <w:rPr>
          <w:rStyle w:val="FootnoteReference"/>
        </w:rPr>
        <w:footnoteRef/>
      </w:r>
      <w:r>
        <w:t xml:space="preserve"> </w:t>
      </w:r>
      <w:r w:rsidRPr="00746BC1">
        <w:rPr>
          <w:sz w:val="18"/>
          <w:szCs w:val="18"/>
        </w:rPr>
        <w:t xml:space="preserve">In 2015, DHHS funded approximately $31.7 billion in research grants and other contracts, with $29.2 billion accounted for by the </w:t>
      </w:r>
      <w:r w:rsidRPr="007F3F0F">
        <w:rPr>
          <w:sz w:val="18"/>
          <w:szCs w:val="18"/>
        </w:rPr>
        <w:t>NIH</w:t>
      </w:r>
      <w:r w:rsidRPr="00746BC1">
        <w:rPr>
          <w:sz w:val="18"/>
          <w:szCs w:val="18"/>
        </w:rPr>
        <w:t xml:space="preserve">.  </w:t>
      </w:r>
    </w:p>
  </w:footnote>
  <w:footnote w:id="11">
    <w:p w14:paraId="5137870D" w14:textId="77777777" w:rsidR="00FB0C80" w:rsidRDefault="00FB0C80">
      <w:pPr>
        <w:pStyle w:val="FootnoteText"/>
      </w:pPr>
      <w:r>
        <w:rPr>
          <w:rStyle w:val="FootnoteReference"/>
        </w:rPr>
        <w:footnoteRef/>
      </w:r>
      <w:r>
        <w:t xml:space="preserve"> [DOE provided funding for or had an interest in 15-17% of government interest patents granted in each year 2012-2016]</w:t>
      </w:r>
    </w:p>
  </w:footnote>
  <w:footnote w:id="12">
    <w:p w14:paraId="5A44E160" w14:textId="77777777" w:rsidR="00FB0C80" w:rsidRDefault="00FB0C80" w:rsidP="00483AE8">
      <w:pPr>
        <w:pStyle w:val="FootnoteText"/>
      </w:pPr>
      <w:r w:rsidRPr="00400D16">
        <w:rPr>
          <w:rStyle w:val="FootnoteReference"/>
          <w:sz w:val="18"/>
          <w:szCs w:val="18"/>
        </w:rPr>
        <w:footnoteRef/>
      </w:r>
      <w:r>
        <w:rPr>
          <w:i/>
          <w:sz w:val="18"/>
          <w:szCs w:val="18"/>
        </w:rPr>
        <w:t xml:space="preserve"> </w:t>
      </w:r>
      <w:r w:rsidRPr="00EA6DFE">
        <w:rPr>
          <w:sz w:val="18"/>
          <w:szCs w:val="18"/>
        </w:rPr>
        <w:t>In 2015, DHHS distributed $16.2 billion in R&amp;D to universities and colleges. NSF, on the other hand, had a smaller annual research budget of $6.1 billion, of which $4.6 billion went to universities.</w:t>
      </w:r>
      <w:r>
        <w:rPr>
          <w:i/>
          <w:sz w:val="18"/>
          <w:szCs w:val="18"/>
        </w:rPr>
        <w:t xml:space="preserve"> </w:t>
      </w:r>
      <w:r w:rsidRPr="00400D16">
        <w:rPr>
          <w:i/>
          <w:sz w:val="18"/>
          <w:szCs w:val="18"/>
        </w:rPr>
        <w:t>Source</w:t>
      </w:r>
      <w:r>
        <w:rPr>
          <w:i/>
          <w:sz w:val="18"/>
          <w:szCs w:val="18"/>
        </w:rPr>
        <w:t>s</w:t>
      </w:r>
      <w:r w:rsidRPr="00400D16">
        <w:rPr>
          <w:sz w:val="18"/>
          <w:szCs w:val="18"/>
        </w:rPr>
        <w:t xml:space="preserve">: American Association for the Advancement of Science.  Retrieved from </w:t>
      </w:r>
      <w:hyperlink r:id="rId3" w:anchor="Agency" w:history="1">
        <w:r w:rsidRPr="00400D16">
          <w:rPr>
            <w:rStyle w:val="Hyperlink"/>
            <w:sz w:val="18"/>
            <w:szCs w:val="18"/>
          </w:rPr>
          <w:t>https://www.aaas.org/page/historical-trends-federal-rd#Agency</w:t>
        </w:r>
      </w:hyperlink>
      <w:r w:rsidRPr="00400D16">
        <w:rPr>
          <w:sz w:val="18"/>
          <w:szCs w:val="18"/>
        </w:rPr>
        <w:t xml:space="preserve"> on January 5, 2018.</w:t>
      </w:r>
      <w:r>
        <w:t xml:space="preserve">  </w:t>
      </w:r>
    </w:p>
    <w:p w14:paraId="1F87100C" w14:textId="77777777" w:rsidR="00FB0C80" w:rsidRPr="00400D16" w:rsidRDefault="00FB0C80" w:rsidP="00483AE8">
      <w:pPr>
        <w:pStyle w:val="FootnoteText"/>
        <w:rPr>
          <w:sz w:val="18"/>
          <w:szCs w:val="18"/>
        </w:rPr>
      </w:pPr>
      <w:r w:rsidRPr="00400D16">
        <w:rPr>
          <w:sz w:val="18"/>
          <w:szCs w:val="18"/>
        </w:rPr>
        <w:t xml:space="preserve">National Science Foundation. Retrieved from </w:t>
      </w:r>
      <w:hyperlink r:id="rId4" w:history="1">
        <w:r w:rsidRPr="00400D16">
          <w:rPr>
            <w:rStyle w:val="Hyperlink"/>
            <w:sz w:val="18"/>
            <w:szCs w:val="18"/>
          </w:rPr>
          <w:t>https://ncsesdata.nsf.gov/fedsupport/2015/html/FSS2015_DST_19.html</w:t>
        </w:r>
      </w:hyperlink>
      <w:r w:rsidRPr="00400D16">
        <w:rPr>
          <w:sz w:val="18"/>
          <w:szCs w:val="18"/>
        </w:rPr>
        <w:t xml:space="preserve"> </w:t>
      </w:r>
    </w:p>
  </w:footnote>
  <w:footnote w:id="13">
    <w:p w14:paraId="1B7F4C9E" w14:textId="77777777" w:rsidR="00FB0C80" w:rsidRPr="00A01A65" w:rsidRDefault="00FB0C80" w:rsidP="00927274">
      <w:pPr>
        <w:pStyle w:val="FootnoteText"/>
      </w:pPr>
      <w:r>
        <w:rPr>
          <w:rStyle w:val="FootnoteReference"/>
        </w:rPr>
        <w:footnoteRef/>
      </w:r>
      <w:r>
        <w:t xml:space="preserve"> All but one of the 17</w:t>
      </w:r>
      <w:r w:rsidRPr="00A01A65">
        <w:t xml:space="preserve"> national laboratories associated with the DOE are managed and operated by private-sector organizations.</w:t>
      </w:r>
      <w:r>
        <w:t xml:space="preserve"> These </w:t>
      </w:r>
      <w:r w:rsidRPr="00104FDA">
        <w:rPr>
          <w:highlight w:val="yellow"/>
        </w:rPr>
        <w:t>16 labs are classified as corporate assignees in Figure 4</w:t>
      </w:r>
      <w:r>
        <w:t>.</w:t>
      </w:r>
    </w:p>
  </w:footnote>
  <w:footnote w:id="14">
    <w:p w14:paraId="7DAAFBF9" w14:textId="77777777" w:rsidR="00FB0C80" w:rsidRPr="00400D16" w:rsidRDefault="00FB0C80" w:rsidP="00C5172F">
      <w:pPr>
        <w:pStyle w:val="FootnoteText"/>
        <w:rPr>
          <w:b/>
          <w:i/>
          <w:iCs/>
          <w:sz w:val="18"/>
          <w:szCs w:val="18"/>
        </w:rPr>
      </w:pPr>
      <w:r w:rsidRPr="00400D16">
        <w:rPr>
          <w:rStyle w:val="FootnoteReference"/>
          <w:sz w:val="18"/>
          <w:szCs w:val="18"/>
        </w:rPr>
        <w:footnoteRef/>
      </w:r>
      <w:r w:rsidRPr="00400D16">
        <w:rPr>
          <w:sz w:val="18"/>
          <w:szCs w:val="18"/>
        </w:rPr>
        <w:t xml:space="preserve"> Hughes, M.E., et al. (2011). “Technology Transfer and Commercialization Landscape of the Federal Laboratories.” </w:t>
      </w:r>
      <w:r w:rsidRPr="00400D16">
        <w:rPr>
          <w:i/>
          <w:iCs/>
          <w:sz w:val="18"/>
          <w:szCs w:val="18"/>
        </w:rPr>
        <w:t xml:space="preserve">NS P-4728. Institute for the Defense Analyses, Washington, DC.  </w:t>
      </w:r>
    </w:p>
    <w:p w14:paraId="2391709A" w14:textId="77777777" w:rsidR="00FB0C80" w:rsidRPr="00400D16" w:rsidRDefault="00FB0C80" w:rsidP="00C5172F">
      <w:pPr>
        <w:pStyle w:val="FootnoteText"/>
        <w:rPr>
          <w:sz w:val="18"/>
          <w:szCs w:val="18"/>
        </w:rPr>
      </w:pPr>
      <w:r w:rsidRPr="00400D16">
        <w:rPr>
          <w:iCs/>
          <w:sz w:val="18"/>
          <w:szCs w:val="18"/>
        </w:rPr>
        <w:t xml:space="preserve">Vetterkind, M. (2017). Agency Budgets: Chapter 11: Department of Defense.  Retrieved from </w:t>
      </w:r>
      <w:hyperlink r:id="rId5" w:history="1">
        <w:r w:rsidRPr="00400D16">
          <w:rPr>
            <w:rStyle w:val="Hyperlink"/>
            <w:iCs/>
            <w:sz w:val="18"/>
            <w:szCs w:val="18"/>
          </w:rPr>
          <w:t>https://www.aaas.org/fy16budget/department-defense</w:t>
        </w:r>
      </w:hyperlink>
      <w:r w:rsidRPr="00400D16">
        <w:rPr>
          <w:iCs/>
          <w:sz w:val="18"/>
          <w:szCs w:val="18"/>
        </w:rPr>
        <w:t xml:space="preserve"> </w:t>
      </w:r>
    </w:p>
  </w:footnote>
  <w:footnote w:id="15">
    <w:p w14:paraId="1D998237" w14:textId="77777777" w:rsidR="00B57F26" w:rsidRDefault="00B57F26" w:rsidP="005E20C7">
      <w:pPr>
        <w:pStyle w:val="FootnoteText"/>
      </w:pPr>
      <w:r>
        <w:rPr>
          <w:rStyle w:val="FootnoteReference"/>
        </w:rPr>
        <w:footnoteRef/>
      </w:r>
      <w:r>
        <w:t xml:space="preserve"> </w:t>
      </w:r>
      <w:r w:rsidR="004C386E">
        <w:t>A patent is</w:t>
      </w:r>
      <w:r w:rsidR="00B447BF">
        <w:t xml:space="preserve"> designated </w:t>
      </w:r>
      <w:r w:rsidR="004C386E">
        <w:t xml:space="preserve">as issued to a </w:t>
      </w:r>
      <w:r w:rsidR="00B447BF">
        <w:t xml:space="preserve">small </w:t>
      </w:r>
      <w:r w:rsidR="004C386E">
        <w:t>firm if it</w:t>
      </w:r>
      <w:r w:rsidR="00B447BF">
        <w:t xml:space="preserve"> received a small or micro entity </w:t>
      </w:r>
      <w:r w:rsidR="004C386E">
        <w:t xml:space="preserve">(2013 grants and after) </w:t>
      </w:r>
      <w:r w:rsidR="00B447BF">
        <w:t>discount on the patent issuance fee.</w:t>
      </w:r>
      <w:r w:rsidR="004C386E">
        <w:t xml:space="preserve"> Roughly, 31-37% of government interest patents granted in each year 2008-2017 and assigned to corporate entities received a small or micro entity discount on the patent issuance fee</w:t>
      </w:r>
      <w:r w:rsidR="005E20C7">
        <w:t>.</w:t>
      </w:r>
    </w:p>
  </w:footnote>
  <w:footnote w:id="16">
    <w:p w14:paraId="25252949" w14:textId="77777777" w:rsidR="004F20FE" w:rsidRDefault="004F20FE">
      <w:pPr>
        <w:pStyle w:val="FootnoteText"/>
      </w:pPr>
      <w:r>
        <w:rPr>
          <w:rStyle w:val="FootnoteReference"/>
        </w:rPr>
        <w:footnoteRef/>
      </w:r>
      <w:r>
        <w:t xml:space="preserve"> Data on inventor gender from [source] only available for government interest patents granted 1980-2016.</w:t>
      </w:r>
    </w:p>
  </w:footnote>
  <w:footnote w:id="17">
    <w:p w14:paraId="1DAD9CEE" w14:textId="77777777" w:rsidR="00FB0C80" w:rsidRDefault="00FB0C80" w:rsidP="00C5172F">
      <w:pPr>
        <w:pStyle w:val="FootnoteText"/>
      </w:pPr>
      <w:r w:rsidRPr="00813795">
        <w:rPr>
          <w:rStyle w:val="FootnoteReference"/>
          <w:sz w:val="18"/>
        </w:rPr>
        <w:footnoteRef/>
      </w:r>
      <w:r w:rsidRPr="00813795">
        <w:rPr>
          <w:sz w:val="18"/>
        </w:rPr>
        <w:t xml:space="preserve"> The </w:t>
      </w:r>
      <w:hyperlink r:id="rId6" w:history="1">
        <w:r w:rsidRPr="00813795">
          <w:rPr>
            <w:rStyle w:val="Hyperlink"/>
            <w:sz w:val="18"/>
          </w:rPr>
          <w:t>www.PatentsView.org</w:t>
        </w:r>
      </w:hyperlink>
      <w:r w:rsidRPr="00813795">
        <w:rPr>
          <w:sz w:val="18"/>
        </w:rPr>
        <w:t xml:space="preserve"> initiative is supported by the Office of Chief Economist in the US Patent &amp; Trademark Office (USPTO).</w:t>
      </w:r>
    </w:p>
  </w:footnote>
  <w:footnote w:id="18">
    <w:p w14:paraId="286A0DE9" w14:textId="77777777" w:rsidR="00FB0C80" w:rsidRDefault="00FB0C80" w:rsidP="00C5172F">
      <w:pPr>
        <w:pStyle w:val="FootnoteText"/>
      </w:pPr>
      <w:r w:rsidRPr="00124794">
        <w:rPr>
          <w:rStyle w:val="FootnoteReference"/>
          <w:sz w:val="18"/>
        </w:rPr>
        <w:footnoteRef/>
      </w:r>
      <w:r w:rsidRPr="00124794">
        <w:rPr>
          <w:sz w:val="18"/>
        </w:rPr>
        <w:t xml:space="preserve"> Figure 1 &amp; Figure 2 example from US  7897396 </w:t>
      </w:r>
      <w:hyperlink r:id="rId7" w:anchor="detail/patent/7897396" w:history="1">
        <w:r w:rsidRPr="00124794">
          <w:rPr>
            <w:rStyle w:val="Hyperlink"/>
            <w:sz w:val="18"/>
          </w:rPr>
          <w:t>http://www.patentsview.org/web/#detail/patent/7897396</w:t>
        </w:r>
      </w:hyperlink>
      <w:r w:rsidRPr="00124794">
        <w:rPr>
          <w:sz w:val="18"/>
        </w:rPr>
        <w:t xml:space="preserve"> </w:t>
      </w:r>
    </w:p>
  </w:footnote>
  <w:footnote w:id="19">
    <w:p w14:paraId="07A46702" w14:textId="77777777" w:rsidR="00FB0C80" w:rsidRPr="00D349B7" w:rsidRDefault="00FB0C80" w:rsidP="00C5172F">
      <w:pPr>
        <w:pStyle w:val="FootnoteText"/>
        <w:rPr>
          <w:rFonts w:cstheme="minorHAnsi"/>
          <w:sz w:val="18"/>
          <w:szCs w:val="18"/>
        </w:rPr>
      </w:pPr>
      <w:r w:rsidRPr="00D349B7">
        <w:rPr>
          <w:rStyle w:val="FootnoteReference"/>
          <w:rFonts w:cstheme="minorHAnsi"/>
          <w:sz w:val="18"/>
          <w:szCs w:val="18"/>
        </w:rPr>
        <w:footnoteRef/>
      </w:r>
      <w:r w:rsidRPr="00D349B7">
        <w:rPr>
          <w:rFonts w:cstheme="minorHAnsi"/>
          <w:sz w:val="18"/>
          <w:szCs w:val="18"/>
        </w:rPr>
        <w:t xml:space="preserve">  Jenny Rose Finkel, Trond Grenager, and Christopher Manning. 2005. Incorporating Non-local Information into Information Extraction Systems by Gibbs Sampling. </w:t>
      </w:r>
      <w:r w:rsidRPr="00D349B7">
        <w:rPr>
          <w:rFonts w:cstheme="minorHAnsi"/>
          <w:i/>
          <w:iCs/>
          <w:sz w:val="18"/>
          <w:szCs w:val="18"/>
        </w:rPr>
        <w:t>Proceedings of the 43nd Annual Meeting of the Association for Computational Linguistics (ACL 2005),</w:t>
      </w:r>
      <w:r w:rsidRPr="00D349B7">
        <w:rPr>
          <w:rFonts w:cstheme="minorHAnsi"/>
          <w:sz w:val="18"/>
          <w:szCs w:val="18"/>
        </w:rPr>
        <w:t> pp. 363-370. </w:t>
      </w:r>
      <w:hyperlink r:id="rId8" w:history="1">
        <w:r w:rsidRPr="00D349B7">
          <w:rPr>
            <w:rStyle w:val="Hyperlink"/>
            <w:rFonts w:cstheme="minorHAnsi"/>
            <w:sz w:val="18"/>
            <w:szCs w:val="18"/>
          </w:rPr>
          <w:t>http://nlp.stanford.edu/~manning/papers/gibbscrf3.pdf</w:t>
        </w:r>
      </w:hyperlink>
      <w:r>
        <w:rPr>
          <w:rStyle w:val="Hyperlink"/>
          <w:rFonts w:cstheme="minorHAnsi"/>
          <w:sz w:val="18"/>
          <w:szCs w:val="18"/>
        </w:rPr>
        <w:t>.</w:t>
      </w:r>
    </w:p>
  </w:footnote>
  <w:footnote w:id="20">
    <w:p w14:paraId="49107684" w14:textId="77777777" w:rsidR="00FB0C80" w:rsidRPr="00990025" w:rsidRDefault="00FB0C80" w:rsidP="00C5172F">
      <w:pPr>
        <w:pStyle w:val="FootnoteText"/>
        <w:rPr>
          <w:rFonts w:cstheme="minorHAnsi"/>
          <w:sz w:val="18"/>
          <w:szCs w:val="18"/>
        </w:rPr>
      </w:pPr>
      <w:r w:rsidRPr="00990025">
        <w:rPr>
          <w:rStyle w:val="FootnoteReference"/>
          <w:rFonts w:cstheme="minorHAnsi"/>
          <w:sz w:val="18"/>
          <w:szCs w:val="18"/>
        </w:rPr>
        <w:footnoteRef/>
      </w:r>
      <w:r w:rsidRPr="00990025">
        <w:rPr>
          <w:rFonts w:cstheme="minorHAnsi"/>
          <w:sz w:val="18"/>
          <w:szCs w:val="18"/>
        </w:rPr>
        <w:t xml:space="preserve"> </w:t>
      </w:r>
      <w:r w:rsidRPr="00990025">
        <w:rPr>
          <w:rFonts w:eastAsia="Times New Roman" w:cstheme="minorHAnsi"/>
          <w:i/>
          <w:sz w:val="18"/>
          <w:szCs w:val="18"/>
        </w:rPr>
        <w:t>See</w:t>
      </w:r>
      <w:r>
        <w:rPr>
          <w:rFonts w:eastAsia="Times New Roman" w:cstheme="minorHAnsi"/>
          <w:i/>
          <w:sz w:val="18"/>
          <w:szCs w:val="18"/>
        </w:rPr>
        <w:t>, e.g.,</w:t>
      </w:r>
      <w:r w:rsidRPr="00990025">
        <w:rPr>
          <w:rFonts w:eastAsia="Times New Roman" w:cstheme="minorHAnsi"/>
          <w:i/>
          <w:sz w:val="18"/>
          <w:szCs w:val="18"/>
        </w:rPr>
        <w:t xml:space="preserve"> </w:t>
      </w:r>
      <w:r w:rsidRPr="00990025">
        <w:rPr>
          <w:rFonts w:eastAsia="Times New Roman" w:cstheme="minorHAnsi"/>
          <w:sz w:val="18"/>
          <w:szCs w:val="18"/>
        </w:rPr>
        <w:t>Arti K. Rai &amp; Bhaven N. Sampat, Accountability in Patenting of Federally Funded Research, 30 NATURE BIOTECH. 953 (2012)</w:t>
      </w:r>
      <w:r>
        <w:rPr>
          <w:rFonts w:eastAsia="Times New Roman" w:cstheme="minorHAnsi"/>
          <w:sz w:val="18"/>
          <w:szCs w:val="18"/>
        </w:rPr>
        <w:t xml:space="preserve">. </w:t>
      </w:r>
      <w:r w:rsidRPr="00990025">
        <w:rPr>
          <w:rFonts w:cstheme="minorHAnsi"/>
          <w:sz w:val="18"/>
          <w:szCs w:val="18"/>
        </w:rPr>
        <w:t xml:space="preserve">This study finds evidence of underreporting though improvement in compliance over time. Using data on patents recorded in </w:t>
      </w:r>
      <w:r w:rsidRPr="00990025">
        <w:rPr>
          <w:rFonts w:eastAsia="Times New Roman" w:cstheme="minorHAnsi"/>
          <w:sz w:val="18"/>
          <w:szCs w:val="18"/>
        </w:rPr>
        <w:t>National Institutes of Health (</w:t>
      </w:r>
      <w:r w:rsidRPr="00990025">
        <w:rPr>
          <w:rFonts w:cstheme="minorHAnsi"/>
          <w:sz w:val="18"/>
          <w:szCs w:val="18"/>
        </w:rPr>
        <w:t>NIH) RePORTER (and accordingly developed with NIH funding), they find that 20-40% of grant year cohorts 1981-2007 had no government interest disclosed on the front of the patent. The study does show the incidence of a government interest rate increasing over time to 90% for patents issued in 2007.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880B9" w14:textId="77777777" w:rsidR="00515AD7" w:rsidRDefault="00515A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62678"/>
      <w:docPartObj>
        <w:docPartGallery w:val="Watermarks"/>
        <w:docPartUnique/>
      </w:docPartObj>
    </w:sdtPr>
    <w:sdtEndPr/>
    <w:sdtContent>
      <w:p w14:paraId="15E4E5E4" w14:textId="77777777" w:rsidR="00FB0C80" w:rsidRDefault="00515AD7">
        <w:pPr>
          <w:pStyle w:val="Header"/>
        </w:pPr>
        <w:r>
          <w:rPr>
            <w:noProof/>
          </w:rPr>
          <w:pict w14:anchorId="5C95AA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p w14:paraId="0954141A" w14:textId="77777777" w:rsidR="00FB0C80" w:rsidRDefault="00FB0C80">
    <w:pPr>
      <w:pStyle w:val="Header"/>
    </w:pPr>
  </w:p>
  <w:p w14:paraId="7993ECBA" w14:textId="77777777" w:rsidR="00FB0C80" w:rsidRDefault="00FB0C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443AC"/>
    <w:multiLevelType w:val="hybridMultilevel"/>
    <w:tmpl w:val="9AA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366939"/>
    <w:multiLevelType w:val="hybridMultilevel"/>
    <w:tmpl w:val="80B0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43FB7"/>
    <w:multiLevelType w:val="hybridMultilevel"/>
    <w:tmpl w:val="C2D631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44537B"/>
    <w:multiLevelType w:val="hybridMultilevel"/>
    <w:tmpl w:val="C2D631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ers, Amanda">
    <w15:presenceInfo w15:providerId="AD" w15:userId="S-1-5-21-185489447-88882503-980507067-268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2F"/>
    <w:rsid w:val="0001022F"/>
    <w:rsid w:val="00011D19"/>
    <w:rsid w:val="00011F29"/>
    <w:rsid w:val="000275E2"/>
    <w:rsid w:val="00034285"/>
    <w:rsid w:val="00037901"/>
    <w:rsid w:val="00047485"/>
    <w:rsid w:val="0006344E"/>
    <w:rsid w:val="000A368A"/>
    <w:rsid w:val="000B1D4A"/>
    <w:rsid w:val="000C3CBE"/>
    <w:rsid w:val="000D24E3"/>
    <w:rsid w:val="000E5896"/>
    <w:rsid w:val="00152582"/>
    <w:rsid w:val="00152F73"/>
    <w:rsid w:val="001924C5"/>
    <w:rsid w:val="001A010C"/>
    <w:rsid w:val="001A7130"/>
    <w:rsid w:val="001D2971"/>
    <w:rsid w:val="001E004E"/>
    <w:rsid w:val="001F4F6B"/>
    <w:rsid w:val="00222C3D"/>
    <w:rsid w:val="00226DB2"/>
    <w:rsid w:val="00233F56"/>
    <w:rsid w:val="00246076"/>
    <w:rsid w:val="00247105"/>
    <w:rsid w:val="002501AF"/>
    <w:rsid w:val="00254D37"/>
    <w:rsid w:val="00256BE0"/>
    <w:rsid w:val="002715F5"/>
    <w:rsid w:val="00282218"/>
    <w:rsid w:val="002835E3"/>
    <w:rsid w:val="002865F6"/>
    <w:rsid w:val="002868E3"/>
    <w:rsid w:val="002943A2"/>
    <w:rsid w:val="00296C70"/>
    <w:rsid w:val="002A1FE5"/>
    <w:rsid w:val="002B25E0"/>
    <w:rsid w:val="002C12C4"/>
    <w:rsid w:val="002C4A42"/>
    <w:rsid w:val="002D24AF"/>
    <w:rsid w:val="002D3FE9"/>
    <w:rsid w:val="002F42C0"/>
    <w:rsid w:val="003014A3"/>
    <w:rsid w:val="003238BE"/>
    <w:rsid w:val="00335604"/>
    <w:rsid w:val="00347983"/>
    <w:rsid w:val="00367D7A"/>
    <w:rsid w:val="00371AD9"/>
    <w:rsid w:val="00373D86"/>
    <w:rsid w:val="003A16B4"/>
    <w:rsid w:val="003B16D5"/>
    <w:rsid w:val="003B33DF"/>
    <w:rsid w:val="003C2B04"/>
    <w:rsid w:val="003D1306"/>
    <w:rsid w:val="003E6F94"/>
    <w:rsid w:val="003F0B2D"/>
    <w:rsid w:val="00421154"/>
    <w:rsid w:val="0043609A"/>
    <w:rsid w:val="004364A3"/>
    <w:rsid w:val="00445EBF"/>
    <w:rsid w:val="00450E50"/>
    <w:rsid w:val="00483AE8"/>
    <w:rsid w:val="004A5296"/>
    <w:rsid w:val="004C1200"/>
    <w:rsid w:val="004C198F"/>
    <w:rsid w:val="004C2689"/>
    <w:rsid w:val="004C386E"/>
    <w:rsid w:val="004F20FE"/>
    <w:rsid w:val="00512AB6"/>
    <w:rsid w:val="00514736"/>
    <w:rsid w:val="005158EA"/>
    <w:rsid w:val="00515AD7"/>
    <w:rsid w:val="005678E3"/>
    <w:rsid w:val="005745FA"/>
    <w:rsid w:val="00590E92"/>
    <w:rsid w:val="005A6D80"/>
    <w:rsid w:val="005B037D"/>
    <w:rsid w:val="005B2219"/>
    <w:rsid w:val="005D664C"/>
    <w:rsid w:val="005E20C7"/>
    <w:rsid w:val="00626A9E"/>
    <w:rsid w:val="00627C13"/>
    <w:rsid w:val="00653D6A"/>
    <w:rsid w:val="00675DF5"/>
    <w:rsid w:val="00677B67"/>
    <w:rsid w:val="00681394"/>
    <w:rsid w:val="00683510"/>
    <w:rsid w:val="00683949"/>
    <w:rsid w:val="0068594B"/>
    <w:rsid w:val="00691D8A"/>
    <w:rsid w:val="00696E15"/>
    <w:rsid w:val="006B56F4"/>
    <w:rsid w:val="006E7CAC"/>
    <w:rsid w:val="006F39F2"/>
    <w:rsid w:val="006F3BF4"/>
    <w:rsid w:val="006F7122"/>
    <w:rsid w:val="00706916"/>
    <w:rsid w:val="00723442"/>
    <w:rsid w:val="0072496A"/>
    <w:rsid w:val="007339AD"/>
    <w:rsid w:val="00737B30"/>
    <w:rsid w:val="00740C98"/>
    <w:rsid w:val="00750A6B"/>
    <w:rsid w:val="00772B0D"/>
    <w:rsid w:val="00776A41"/>
    <w:rsid w:val="007A7FDB"/>
    <w:rsid w:val="007B0B07"/>
    <w:rsid w:val="007E17F0"/>
    <w:rsid w:val="007E29D3"/>
    <w:rsid w:val="007F2E24"/>
    <w:rsid w:val="007F3F0F"/>
    <w:rsid w:val="00816882"/>
    <w:rsid w:val="00822AAB"/>
    <w:rsid w:val="00843924"/>
    <w:rsid w:val="00853E6C"/>
    <w:rsid w:val="00855FAA"/>
    <w:rsid w:val="008833B5"/>
    <w:rsid w:val="00885D6C"/>
    <w:rsid w:val="00887574"/>
    <w:rsid w:val="008C0060"/>
    <w:rsid w:val="008C7033"/>
    <w:rsid w:val="008E49EE"/>
    <w:rsid w:val="009063F7"/>
    <w:rsid w:val="009220EB"/>
    <w:rsid w:val="00927274"/>
    <w:rsid w:val="009306B0"/>
    <w:rsid w:val="00967645"/>
    <w:rsid w:val="00985273"/>
    <w:rsid w:val="00987026"/>
    <w:rsid w:val="009A6BFF"/>
    <w:rsid w:val="009B501A"/>
    <w:rsid w:val="009D0468"/>
    <w:rsid w:val="009F7790"/>
    <w:rsid w:val="00A01A65"/>
    <w:rsid w:val="00A03451"/>
    <w:rsid w:val="00A045D6"/>
    <w:rsid w:val="00A062A8"/>
    <w:rsid w:val="00A23BA5"/>
    <w:rsid w:val="00A94177"/>
    <w:rsid w:val="00AA2ABE"/>
    <w:rsid w:val="00AA5724"/>
    <w:rsid w:val="00AB5E2B"/>
    <w:rsid w:val="00AC4B3B"/>
    <w:rsid w:val="00AE3341"/>
    <w:rsid w:val="00AE7B24"/>
    <w:rsid w:val="00AF137D"/>
    <w:rsid w:val="00B06703"/>
    <w:rsid w:val="00B169F8"/>
    <w:rsid w:val="00B2101E"/>
    <w:rsid w:val="00B21F6D"/>
    <w:rsid w:val="00B447BF"/>
    <w:rsid w:val="00B557D3"/>
    <w:rsid w:val="00B57F26"/>
    <w:rsid w:val="00B96207"/>
    <w:rsid w:val="00C34331"/>
    <w:rsid w:val="00C5172F"/>
    <w:rsid w:val="00C63A62"/>
    <w:rsid w:val="00CB2893"/>
    <w:rsid w:val="00CB3060"/>
    <w:rsid w:val="00CB5DB1"/>
    <w:rsid w:val="00CC7349"/>
    <w:rsid w:val="00CE1082"/>
    <w:rsid w:val="00CE665A"/>
    <w:rsid w:val="00CE6725"/>
    <w:rsid w:val="00D05302"/>
    <w:rsid w:val="00D273B5"/>
    <w:rsid w:val="00D332FD"/>
    <w:rsid w:val="00D57A58"/>
    <w:rsid w:val="00D74389"/>
    <w:rsid w:val="00D975D8"/>
    <w:rsid w:val="00DC0243"/>
    <w:rsid w:val="00DD1B45"/>
    <w:rsid w:val="00DD4A95"/>
    <w:rsid w:val="00DF7DC7"/>
    <w:rsid w:val="00E10B76"/>
    <w:rsid w:val="00E1210B"/>
    <w:rsid w:val="00E241BE"/>
    <w:rsid w:val="00E32289"/>
    <w:rsid w:val="00E37F70"/>
    <w:rsid w:val="00E467A1"/>
    <w:rsid w:val="00E4779A"/>
    <w:rsid w:val="00E5054E"/>
    <w:rsid w:val="00E50C65"/>
    <w:rsid w:val="00E56320"/>
    <w:rsid w:val="00E62CF8"/>
    <w:rsid w:val="00EA6C9B"/>
    <w:rsid w:val="00EA6DFE"/>
    <w:rsid w:val="00EC0FAC"/>
    <w:rsid w:val="00F11E76"/>
    <w:rsid w:val="00F135E4"/>
    <w:rsid w:val="00F13918"/>
    <w:rsid w:val="00F231AC"/>
    <w:rsid w:val="00F47371"/>
    <w:rsid w:val="00F66C58"/>
    <w:rsid w:val="00F672EC"/>
    <w:rsid w:val="00F84270"/>
    <w:rsid w:val="00FA1520"/>
    <w:rsid w:val="00FA3486"/>
    <w:rsid w:val="00FB0C80"/>
    <w:rsid w:val="00FD14DA"/>
    <w:rsid w:val="00FD3F84"/>
    <w:rsid w:val="00FE4141"/>
    <w:rsid w:val="00FE5D1A"/>
    <w:rsid w:val="00FE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C917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72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72F"/>
    <w:rPr>
      <w:sz w:val="22"/>
      <w:szCs w:val="22"/>
    </w:rPr>
  </w:style>
  <w:style w:type="paragraph" w:styleId="Footer">
    <w:name w:val="footer"/>
    <w:basedOn w:val="Normal"/>
    <w:link w:val="FooterChar"/>
    <w:uiPriority w:val="99"/>
    <w:unhideWhenUsed/>
    <w:rsid w:val="00C51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72F"/>
    <w:rPr>
      <w:sz w:val="22"/>
      <w:szCs w:val="22"/>
    </w:rPr>
  </w:style>
  <w:style w:type="paragraph" w:styleId="ListParagraph">
    <w:name w:val="List Paragraph"/>
    <w:basedOn w:val="Normal"/>
    <w:uiPriority w:val="34"/>
    <w:qFormat/>
    <w:rsid w:val="00C5172F"/>
    <w:pPr>
      <w:ind w:left="720"/>
      <w:contextualSpacing/>
    </w:pPr>
  </w:style>
  <w:style w:type="paragraph" w:styleId="NoSpacing">
    <w:name w:val="No Spacing"/>
    <w:link w:val="NoSpacingChar"/>
    <w:uiPriority w:val="1"/>
    <w:qFormat/>
    <w:rsid w:val="00C5172F"/>
    <w:rPr>
      <w:rFonts w:eastAsiaTheme="minorEastAsia"/>
      <w:sz w:val="22"/>
      <w:szCs w:val="22"/>
    </w:rPr>
  </w:style>
  <w:style w:type="character" w:customStyle="1" w:styleId="NoSpacingChar">
    <w:name w:val="No Spacing Char"/>
    <w:basedOn w:val="DefaultParagraphFont"/>
    <w:link w:val="NoSpacing"/>
    <w:uiPriority w:val="1"/>
    <w:rsid w:val="00C5172F"/>
    <w:rPr>
      <w:rFonts w:eastAsiaTheme="minorEastAsia"/>
      <w:sz w:val="22"/>
      <w:szCs w:val="22"/>
    </w:rPr>
  </w:style>
  <w:style w:type="character" w:styleId="Hyperlink">
    <w:name w:val="Hyperlink"/>
    <w:basedOn w:val="DefaultParagraphFont"/>
    <w:uiPriority w:val="99"/>
    <w:unhideWhenUsed/>
    <w:rsid w:val="00C5172F"/>
    <w:rPr>
      <w:color w:val="0563C1" w:themeColor="hyperlink"/>
      <w:u w:val="single"/>
    </w:rPr>
  </w:style>
  <w:style w:type="paragraph" w:styleId="FootnoteText">
    <w:name w:val="footnote text"/>
    <w:basedOn w:val="Normal"/>
    <w:link w:val="FootnoteTextChar"/>
    <w:uiPriority w:val="99"/>
    <w:unhideWhenUsed/>
    <w:rsid w:val="00C5172F"/>
    <w:pPr>
      <w:spacing w:after="0" w:line="240" w:lineRule="auto"/>
    </w:pPr>
    <w:rPr>
      <w:sz w:val="20"/>
      <w:szCs w:val="20"/>
    </w:rPr>
  </w:style>
  <w:style w:type="character" w:customStyle="1" w:styleId="FootnoteTextChar">
    <w:name w:val="Footnote Text Char"/>
    <w:basedOn w:val="DefaultParagraphFont"/>
    <w:link w:val="FootnoteText"/>
    <w:uiPriority w:val="99"/>
    <w:rsid w:val="00C5172F"/>
    <w:rPr>
      <w:sz w:val="20"/>
      <w:szCs w:val="20"/>
    </w:rPr>
  </w:style>
  <w:style w:type="character" w:styleId="FootnoteReference">
    <w:name w:val="footnote reference"/>
    <w:basedOn w:val="DefaultParagraphFont"/>
    <w:uiPriority w:val="99"/>
    <w:unhideWhenUsed/>
    <w:rsid w:val="00C5172F"/>
    <w:rPr>
      <w:vertAlign w:val="superscript"/>
    </w:rPr>
  </w:style>
  <w:style w:type="table" w:styleId="TableGrid">
    <w:name w:val="Table Grid"/>
    <w:basedOn w:val="TableNormal"/>
    <w:uiPriority w:val="59"/>
    <w:rsid w:val="00C5172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B1D4A"/>
  </w:style>
  <w:style w:type="character" w:styleId="CommentReference">
    <w:name w:val="annotation reference"/>
    <w:basedOn w:val="DefaultParagraphFont"/>
    <w:uiPriority w:val="99"/>
    <w:semiHidden/>
    <w:unhideWhenUsed/>
    <w:rsid w:val="004C1200"/>
    <w:rPr>
      <w:sz w:val="18"/>
      <w:szCs w:val="18"/>
    </w:rPr>
  </w:style>
  <w:style w:type="paragraph" w:styleId="CommentText">
    <w:name w:val="annotation text"/>
    <w:basedOn w:val="Normal"/>
    <w:link w:val="CommentTextChar"/>
    <w:uiPriority w:val="99"/>
    <w:unhideWhenUsed/>
    <w:rsid w:val="004C1200"/>
    <w:pPr>
      <w:spacing w:line="240" w:lineRule="auto"/>
    </w:pPr>
    <w:rPr>
      <w:sz w:val="24"/>
      <w:szCs w:val="24"/>
    </w:rPr>
  </w:style>
  <w:style w:type="character" w:customStyle="1" w:styleId="CommentTextChar">
    <w:name w:val="Comment Text Char"/>
    <w:basedOn w:val="DefaultParagraphFont"/>
    <w:link w:val="CommentText"/>
    <w:uiPriority w:val="99"/>
    <w:rsid w:val="004C1200"/>
  </w:style>
  <w:style w:type="paragraph" w:styleId="CommentSubject">
    <w:name w:val="annotation subject"/>
    <w:basedOn w:val="CommentText"/>
    <w:next w:val="CommentText"/>
    <w:link w:val="CommentSubjectChar"/>
    <w:uiPriority w:val="99"/>
    <w:semiHidden/>
    <w:unhideWhenUsed/>
    <w:rsid w:val="004C1200"/>
    <w:rPr>
      <w:b/>
      <w:bCs/>
      <w:sz w:val="20"/>
      <w:szCs w:val="20"/>
    </w:rPr>
  </w:style>
  <w:style w:type="character" w:customStyle="1" w:styleId="CommentSubjectChar">
    <w:name w:val="Comment Subject Char"/>
    <w:basedOn w:val="CommentTextChar"/>
    <w:link w:val="CommentSubject"/>
    <w:uiPriority w:val="99"/>
    <w:semiHidden/>
    <w:rsid w:val="004C1200"/>
    <w:rPr>
      <w:b/>
      <w:bCs/>
      <w:sz w:val="20"/>
      <w:szCs w:val="20"/>
    </w:rPr>
  </w:style>
  <w:style w:type="paragraph" w:styleId="BalloonText">
    <w:name w:val="Balloon Text"/>
    <w:basedOn w:val="Normal"/>
    <w:link w:val="BalloonTextChar"/>
    <w:uiPriority w:val="99"/>
    <w:semiHidden/>
    <w:unhideWhenUsed/>
    <w:rsid w:val="004C120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120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74389"/>
    <w:rPr>
      <w:color w:val="954F72" w:themeColor="followedHyperlink"/>
      <w:u w:val="single"/>
    </w:rPr>
  </w:style>
  <w:style w:type="paragraph" w:styleId="NormalWeb">
    <w:name w:val="Normal (Web)"/>
    <w:basedOn w:val="Normal"/>
    <w:uiPriority w:val="99"/>
    <w:semiHidden/>
    <w:unhideWhenUsed/>
    <w:rsid w:val="00B169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19698">
      <w:bodyDiv w:val="1"/>
      <w:marLeft w:val="0"/>
      <w:marRight w:val="0"/>
      <w:marTop w:val="0"/>
      <w:marBottom w:val="0"/>
      <w:divBdr>
        <w:top w:val="none" w:sz="0" w:space="0" w:color="auto"/>
        <w:left w:val="none" w:sz="0" w:space="0" w:color="auto"/>
        <w:bottom w:val="none" w:sz="0" w:space="0" w:color="auto"/>
        <w:right w:val="none" w:sz="0" w:space="0" w:color="auto"/>
      </w:divBdr>
    </w:div>
    <w:div w:id="851843209">
      <w:bodyDiv w:val="1"/>
      <w:marLeft w:val="0"/>
      <w:marRight w:val="0"/>
      <w:marTop w:val="0"/>
      <w:marBottom w:val="0"/>
      <w:divBdr>
        <w:top w:val="none" w:sz="0" w:space="0" w:color="auto"/>
        <w:left w:val="none" w:sz="0" w:space="0" w:color="auto"/>
        <w:bottom w:val="none" w:sz="0" w:space="0" w:color="auto"/>
        <w:right w:val="none" w:sz="0" w:space="0" w:color="auto"/>
      </w:divBdr>
    </w:div>
    <w:div w:id="2100907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sf.gov/statistics/2017/nsf17311/"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aaas.org/page/historical-trends-federal-rd" TargetMode="External"/><Relationship Id="rId28" Type="http://schemas.openxmlformats.org/officeDocument/2006/relationships/image" Target="media/image11.png"/><Relationship Id="rId10" Type="http://schemas.openxmlformats.org/officeDocument/2006/relationships/hyperlink" Target="http://www.patentsview.org)"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tentsview.org)" TargetMode="External"/><Relationship Id="rId14" Type="http://schemas.openxmlformats.org/officeDocument/2006/relationships/image" Target="media/image5.png"/><Relationship Id="rId22" Type="http://schemas.openxmlformats.org/officeDocument/2006/relationships/hyperlink" Target="http://www.PatentsView.org" TargetMode="External"/><Relationship Id="rId27" Type="http://schemas.openxmlformats.org/officeDocument/2006/relationships/footer" Target="footer2.xml"/><Relationship Id="rId30" Type="http://schemas.openxmlformats.org/officeDocument/2006/relationships/footer" Target="footer3.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nlp.stanford.edu/~manning/papers/gibbscrf3.pdf" TargetMode="External"/><Relationship Id="rId3" Type="http://schemas.openxmlformats.org/officeDocument/2006/relationships/hyperlink" Target="https://www.aaas.org/page/historical-trends-federal-rd" TargetMode="External"/><Relationship Id="rId7" Type="http://schemas.openxmlformats.org/officeDocument/2006/relationships/hyperlink" Target="http://www.patentsview.org/web/" TargetMode="External"/><Relationship Id="rId2" Type="http://schemas.openxmlformats.org/officeDocument/2006/relationships/hyperlink" Target="https://www.aaas.org/page/historical-trends-federal-rd" TargetMode="External"/><Relationship Id="rId1" Type="http://schemas.openxmlformats.org/officeDocument/2006/relationships/hyperlink" Target="https://www.aaas.org/page/historical-trends-federal-rd" TargetMode="External"/><Relationship Id="rId6" Type="http://schemas.openxmlformats.org/officeDocument/2006/relationships/hyperlink" Target="http://www.PatentsView.org" TargetMode="External"/><Relationship Id="rId5" Type="http://schemas.openxmlformats.org/officeDocument/2006/relationships/hyperlink" Target="https://www.aaas.org/fy16budget/department-defense" TargetMode="External"/><Relationship Id="rId4" Type="http://schemas.openxmlformats.org/officeDocument/2006/relationships/hyperlink" Target="https://ncsesdata.nsf.gov/fedsupport/2015/html/FSS2015_DST_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9B4CA2-8D53-489B-91F7-7C36F975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26475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Sanjay</dc:creator>
  <cp:keywords/>
  <dc:description/>
  <cp:lastModifiedBy>Patel, Nisha</cp:lastModifiedBy>
  <cp:revision>3</cp:revision>
  <cp:lastPrinted>2018-02-18T16:44:00Z</cp:lastPrinted>
  <dcterms:created xsi:type="dcterms:W3CDTF">2018-10-29T20:19:00Z</dcterms:created>
  <dcterms:modified xsi:type="dcterms:W3CDTF">2018-10-29T20:19:00Z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-1264567822</vt:i4>
  </property>
</Properties>
</file>