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center"/>
        <w:tblLayout w:type="fixed"/>
        <w:tblLook w:val="0400"/>
      </w:tblPr>
      <w:tblGrid>
        <w:gridCol w:w="2040"/>
        <w:gridCol w:w="5580"/>
        <w:gridCol w:w="1470"/>
        <w:tblGridChange w:id="0">
          <w:tblGrid>
            <w:gridCol w:w="2040"/>
            <w:gridCol w:w="5580"/>
            <w:gridCol w:w="1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196400" cy="117720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400" cy="11772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32"/>
                <w:szCs w:val="32"/>
                <w:rtl w:val="0"/>
              </w:rPr>
              <w:t xml:space="preserve">CONTRATO DE PRESTAÇÃO DE</w:t>
              <w:br w:type="textWrapping"/>
              <w:t xml:space="preserve">SERVIÇOS ESTATÍSTICOS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widowControl w:val="1"/>
        <w:spacing w:after="40" w:before="10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2"/>
          <w:szCs w:val="22"/>
          <w:rtl w:val="0"/>
        </w:rPr>
        <w:t xml:space="preserve">CONTRATO Nº CTR-001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160" w:before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18"/>
          <w:szCs w:val="18"/>
          <w:rtl w:val="0"/>
        </w:rPr>
        <w:t xml:space="preserve">Vinculado ao orçamento ORC-005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1 — IDENTIFICAÇÃO DAS PARTES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CONTRATANTE: André Soares da Silva, inscrito(a) no CPF/CNPJ sob o nº 3315500916, e-mail soaresdasilvaandre8@gmail.com e telefone (44)999611193, doravante denominado(a) CONTRATANTE.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CONTRATADO: HAWARD ANTUNNY DA SILVA AMÉRICO, pessoa física, inscrito no CPF sob o nº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058.789.659-09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, residente e domiciliado em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Maringá-PR,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, responsável pelos serviços identificados comercialmente pela marca HAS Analytics, e-mail antunnyamerico@gmail.com, doravante denominado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2 — OBJETO E ESCOPO DOS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2.1. O presente contrato tem por objeto a prestação de serviços de assessoria estatística e acadêmico-científica relacionados ao projeto Análise Estatística dos Dados de Pesquisa, conforme a demanda, as etapas e as entregas descritas a seguir.</w:t>
      </w: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Layout w:type="fixed"/>
        <w:tblLook w:val="0400"/>
      </w:tblPr>
      <w:tblGrid>
        <w:gridCol w:w="1935"/>
        <w:gridCol w:w="7125"/>
        <w:tblGridChange w:id="0">
          <w:tblGrid>
            <w:gridCol w:w="1935"/>
            <w:gridCol w:w="71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Demanda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Validação de um cenário simulado, onde os profissionais de urgência e emergência realizaram votação (juízes), e ao final da inserção das atividades práticas da tese, o público alvo (alunos do curso de socorrista) farão uma avaliação do cenário e atendimento via formulário. Nesse sentido, quero um programa que avalie a qualificação dos juízes e do critério de simulação aplicado , para assim saber  a qualidade do cenário simulado desenvolvido para a docência no curso de socorrista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Serviços contratados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Avaliação da validade do cenário simulado com base no julgamento dos profissionais de urgência e emergência, incluindo análise da concordância entre os juízes e dos critérios de qualidade do cenário. Também será realizada a análise das avaliações dos alunos do curso de socorrista após a aplicação das atividades práticas, com cálculo de indicadores descritivos, elaboração de tabelas e gráficos e interpretação dos resultados. Os métodos específicos serão definidos após a conferência dos instrumentos, das escalas utilizadas e da estrutura do banco de dados.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Organização, conferência e tratamento do banco de dados, recodificação das variáveis, verificação de consistência das respostas e preparação do banco para análise estatística.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Realização das análises estatísticas descritivas, incluindo caracterização dos participantes, distribuição das respostas, cálculo de frequências, medidas descritivas (média, mediana, mínimo e máximo), cálculo dos escores da escala SUS (quando aplicável), elaboração de tabelas e gráficos estatísticos e interpretação descritiva dos resultados, considerando as limitações decorrentes do tamanho da amostra.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Elaboração do relatório técnico contendo a descrição interpretação dos resultados estatísticos, organização dos arquivos para entrega e suporte para esclarecimento de dúvidas e pequenos ajustes.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2.2. A escolha final dos procedimentos estatísticos poderá ser ajustada tecnicamente após a conferência do banco de dados, dos instrumentos e dos objetivos da pesquisa, desde que não implique ampliação substancial do escopo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2.3. Não estão incluídos serviços não descritos neste instrumento, tais como novas hipóteses, novos bancos de dados, reconstrução integral de instrumentos, coleta de dados, tradução, submissão a periódicos ou alterações extensas posteriores à entrega, salvo contratação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3 — ENTREGAS E RESPONSABILIDADE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3.1. A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 entregas serão realizadas no formato acordado, podendo incluir relatório técnico, tabelas, gráficos, arquivos de resultados e orientações para interpretação. Os códigos, scripts e rotinas computacionais utilizados na execução dos serviços não integram as entregas, salvo quando sua disponibilização estiver expressamente prevista no orçamento ou acordada por escrito entre as partes.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3.2. O CONTRATADO compromete-se a empregar métodos estatísticos tecnicamente adequados e a explicitar limitações relevantes. A contratação não garante significância estatística, confirmação de hipóteses, aprovação acadêmica, publicação ou resultado científico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3.3. A autoria, a interpretação substantiva, as conclusões científicas e o uso final dos resultados permanecem sob responsabilidade do CONTRATANTE e dos autores da pesquisa.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4 — OBRIGAÇÕES DO CONTRATANTE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60" w:before="0" w:line="252.00000000000003" w:lineRule="auto"/>
        <w:ind w:left="255" w:hanging="25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8"/>
          <w:szCs w:val="18"/>
          <w:rtl w:val="0"/>
        </w:rPr>
        <w:t xml:space="preserve">4.1. Fornecer banco de dados, instrumentos, objetivos, dicionário de variáveis e demais informações necessárias, de forma completa e compreensível.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60" w:before="0" w:line="252.00000000000003" w:lineRule="auto"/>
        <w:ind w:left="255" w:hanging="25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8"/>
          <w:szCs w:val="18"/>
          <w:rtl w:val="0"/>
        </w:rPr>
        <w:t xml:space="preserve">4.2. Confirmar que possui autorização e base legítima para compartilhar os dados utilizados na pesquisa, adotando a anonimização sempre que possível.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60" w:before="0" w:line="252.00000000000003" w:lineRule="auto"/>
        <w:ind w:left="255" w:hanging="25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8"/>
          <w:szCs w:val="18"/>
          <w:rtl w:val="0"/>
        </w:rPr>
        <w:t xml:space="preserve">4.3. Responder às solicitações de esclarecimento e revisar as entregas dentro dos prazos combinados.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60" w:before="0" w:line="252.00000000000003" w:lineRule="auto"/>
        <w:ind w:left="255" w:hanging="25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8"/>
          <w:szCs w:val="18"/>
          <w:rtl w:val="0"/>
        </w:rPr>
        <w:t xml:space="preserve">4.4. Efe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8"/>
          <w:szCs w:val="18"/>
          <w:rtl w:val="0"/>
        </w:rPr>
        <w:t xml:space="preserve">tuar os pagamentos nas datas e condições estabelecidas neste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5 — VALOR E CONDIÇÕES DE PAGAMENTO</w:t>
      </w: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Valor contratado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R$ 1.005,00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Forma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Cartão de crédito em 5 parcelas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Data de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22/08/2026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Prazo final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22/10/2026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5.1. O início do prazo de execução está condicionado à assinatura deste contrato, à confirmação do pagamento inicial acordado e ao recebimento de todos os arquivos e esclarecimentos necessários.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5.2. Em caso de atraso no pagamento, o serviço e os prazos poderão ser suspensos até a regularização, sem que o período de suspensão seja computado como atraso do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6 — PRAZO, REVISÕES E ALTERAÇÕES DE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6.1. Estão incluídas 3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revisões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 de pequenos ajustes relacionados às análises e entregas originalmente contratadas, desde que solicitadas em até 15 dias corridos após 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6.2. Correção de erro técnico imputável ao CONTRATADO não será considerada rodada de revisão. Pedidos que introduzam novas análises, variáveis, objetivos, versões do banco ou mudanças substanciais serão avaliados separadamente e poderão gerar novo orçamento e novo prazo.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6.3. O atraso do CONTRATANTE no envio de dados, respostas ou validações suspende a contagem do prazo, que será recalculado conforme a disponibilidade do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7 — CONFIDENCIALIDADE E PROTEÇÃO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7.1. As partes comprometem-se a manter confidenciais os dados, documentos, resultados não publicados e demais informações recebidas em razão deste contrato, utilizando-os apenas para a execução dos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7.2. O CONTRATANTE deverá evitar o compartilhamento de identificadores pessoais desnecessários. Quando houver dados pessoais, as partes observarão a legislação aplicável, incluindo medidas razoáveis de segurança e limitação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7.3. Encerrado o serviço, os arquivos poderão ser mantidos pelo prazo operacional de 90 dias para suporte e ajustes; após esse período, poderão ser excluídos, salvo obrigação legal, solicitação diversa do CONTRATANTE ou acordo escrito entre as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8 — PROPRIEDADE INTELECTUAL E USO DOS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8.1. Após o pagamento integral, o CONTRATANTE poderá utilizar as entregas específicas produzidas para seu projeto. Permanecem com o CONTRATADO os conhecimentos, rotinas gerais, modelos, estruturas de código e métodos reutilizáveis que não revelem dados ou conteúdo confidencial.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8.2. A divulgação do trabalho pelo CONTRATADO em portfólio, apresentação ou material promocional dependerá de autorização expressa do CONTRATANTE e não poderá expor dados pessoais, resultados sigilosos ou conteúdo ainda não publicado.</w:t>
      </w:r>
    </w:p>
    <w:p w:rsidR="00000000" w:rsidDel="00000000" w:rsidP="00000000" w:rsidRDefault="00000000" w:rsidRPr="00000000" w14:paraId="00000039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9 — RESCISÃO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9.1. O contrato poderá ser rescindido por qualquer parte mediante comunicação escrita. Nesse caso, serão devidos os valores proporcionais às atividades já executadas e às despesas comprovadamente assumidas até a data da rescisão.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9.2. Eventual saldo pago e ainda não correspondente a serviços executados será restituído, descontados os valores devidos, no prazo acordado entre as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10 — PAGAMENTO APÓS A ASSINATURA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Após a assinatura, o pagamento poderá ser realizado por Pix, pela chave a ser encaminhada após a assinatura, ou pelo link a ser encaminhado após a assinatura, conforme a forma acordada. O recibo será emitido após a confirmação de cada pagamento recebido.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11 — DISPOSIÇÕES FINAIS E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11.1. As comunicações e aprovações realizadas pelos e-mails e números de WhatsApp informados pelas partes poderão ser utilizadas como registro do acompanhamento e das alterações acordadas.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11.2. As partes reconhecem como válida a assinatura física ou eletrônica deste instrumento.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11.3. Fica eleito o foro da comarca de Maringá-PR, ressalvadas as hipóteses legais de foro obrigatório, para resolver controvérsias decorrentes deste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240" w:before="2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Maringá-PR, 22/08/2026.</w:t>
      </w: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spacing w:before="400" w:line="120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  <w:drawing>
                <wp:inline distB="114300" distT="114300" distL="114300" distR="114300">
                  <wp:extent cx="2442106" cy="77510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106" cy="7751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André Soares da Silva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Haward Antunny da Silva Américo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CONTRATADO — HAS Analytics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after="20" w:before="12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555555"/>
          <w:sz w:val="17"/>
          <w:szCs w:val="17"/>
          <w:rtl w:val="0"/>
        </w:rPr>
        <w:t xml:space="preserve">TESTEMUNHAS (opcional)</w:t>
      </w: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left"/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bottom w:w="8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CPF: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8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CPF: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964" w:top="964" w:left="1020" w:right="10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7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405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51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/>
      <w:pict>
        <v:shape id="WordPictureWatermark1" style="position:absolute;width:453.6pt;height:453.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  <w:tbl>
    <w:tblPr>
      <w:tblStyle w:val="Table6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750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4E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