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840646" cy="84726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46" cy="847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366"/>
                <w:sz w:val="40"/>
                <w:szCs w:val="40"/>
                <w:rtl w:val="0"/>
              </w:rPr>
              <w:t xml:space="preserve">ORÇAMENTO DE ANÁLISE</w:t>
              <w:br w:type="textWrapping"/>
              <w:t xml:space="preserve">ESTATÍSTICA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Fatores associados à adoção do controle biológico por produtores rurais da Região Metropolitana de Maringá, Paraná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Jonathan, Departamento de Biotecnologia, 29/07/2026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Descrição do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Organização e tratamento do banco de dados; realização das análises estatísticas descritivas e inferenciais, incluindo testes de associação e modelagem; interpretação dos resultados e elaboração de relatório técnico com tabelas, gráficos, conclusões e ajustes finais.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Etapas da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1: Organização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banco 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Conferência, codificação, categorização e preparação das variáveis.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2: Análise estatística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Análises descritivas, testes de associação, modelagem estatística e avaliação do ajuste.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Fase 3: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Interpretação dos resultados, construção de tabelas e gráficos, conclusões e ajustes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O valor orçado está em conformidade com as análises realizadas, considerando as especificidades do banco de dados e a urgência da pesquisa,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u w:val="single"/>
          <w:rtl w:val="0"/>
        </w:rPr>
        <w:t xml:space="preserve"> bem como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u w:val="single"/>
          <w:rtl w:val="0"/>
        </w:rPr>
        <w:t xml:space="preserve">assessorias após as análises para compreensão das análises realizadas, interpretações gráficas e resultados obtidos para fins de apresentação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. Conforme acordado por mensagem, foi aplicado um desconto ao valor final em razão da parceria para a publicação do artigo. </w:t>
      </w:r>
    </w:p>
    <w:p w:rsidR="00000000" w:rsidDel="00000000" w:rsidP="00000000" w:rsidRDefault="00000000" w:rsidRPr="00000000" w14:paraId="00000013">
      <w:pPr>
        <w:spacing w:after="20" w:lineRule="auto"/>
        <w:jc w:val="both"/>
        <w:rPr>
          <w:rFonts w:ascii="Times New Roman" w:cs="Times New Roman" w:eastAsia="Times New Roman" w:hAnsi="Times New Roman"/>
          <w:b w:val="1"/>
          <w:bCs w:val="1"/>
          <w:color w:val="00336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66"/>
          <w:sz w:val="22"/>
          <w:szCs w:val="22"/>
          <w:rtl w:val="0"/>
        </w:rPr>
        <w:t xml:space="preserve">Sobre a HAS Analytics</w:t>
      </w:r>
    </w:p>
    <w:p w:rsidR="00000000" w:rsidDel="00000000" w:rsidP="00000000" w:rsidRDefault="00000000" w:rsidRPr="00000000" w14:paraId="00000014">
      <w:pPr>
        <w:spacing w:after="20" w:lineRule="auto"/>
        <w:jc w:val="both"/>
        <w:rPr>
          <w:rFonts w:ascii="Times New Roman" w:cs="Times New Roman" w:eastAsia="Times New Roman" w:hAnsi="Times New Roman"/>
          <w:color w:val="4f81bd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4f81bd"/>
          <w:sz w:val="22"/>
          <w:szCs w:val="22"/>
          <w:rtl w:val="0"/>
        </w:rPr>
        <w:t xml:space="preserve">A HAS Analytics atua no apoio à análise de dados, Bioestatística Aplicada e assessoria acadêmico-científica, contribuindo para a organização, modelagem, interpretação e apresentação de resultados em pesquisas de diferentes áreas do conhecimento.</w:t>
      </w:r>
    </w:p>
    <w:p w:rsidR="00000000" w:rsidDel="00000000" w:rsidP="00000000" w:rsidRDefault="00000000" w:rsidRPr="00000000" w14:paraId="00000015">
      <w:pPr>
        <w:spacing w:after="2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8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Valor total: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R$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1571,79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00ff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Desconto aplicado: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ff00"/>
                <w:sz w:val="20"/>
                <w:szCs w:val="20"/>
                <w:rtl w:val="0"/>
              </w:rPr>
              <w:t xml:space="preserve">53% mediante parceria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Valor final: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30"/>
                <w:szCs w:val="30"/>
                <w:rtl w:val="0"/>
              </w:rPr>
              <w:t xml:space="preserve">R$ 833,05</w:t>
            </w:r>
          </w:p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Forma de pagamento: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 combinar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Data prevista de entrega: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20/07/2026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400" w:lineRule="auto"/>
        <w:jc w:val="left"/>
        <w:rPr>
          <w:rFonts w:ascii="Times New Roman" w:cs="Times New Roman" w:eastAsia="Times New Roman" w:hAnsi="Times New Roman"/>
          <w:color w:val="00336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center"/>
        <w:tblLayout w:type="fixed"/>
        <w:tblLook w:val="04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7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after="120" w:before="400" w:line="12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36"/>
                <w:szCs w:val="36"/>
                <w:rtl w:val="0"/>
              </w:rPr>
              <w:t xml:space="preserve">Américo, H.A.S.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1"/>
              <w:keepLines w:val="1"/>
              <w:spacing w:after="120" w:before="400" w:line="120" w:lineRule="auto"/>
              <w:jc w:val="center"/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Haward Antunny S. Américo</w:t>
            </w:r>
          </w:p>
          <w:p w:rsidR="00000000" w:rsidDel="00000000" w:rsidP="00000000" w:rsidRDefault="00000000" w:rsidRPr="00000000" w14:paraId="00000020">
            <w:pPr>
              <w:keepNext w:val="1"/>
              <w:keepLines w:val="1"/>
              <w:spacing w:after="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787878"/>
                <w:sz w:val="20"/>
                <w:szCs w:val="20"/>
                <w:rtl w:val="0"/>
              </w:rPr>
              <w:t xml:space="preserve">Assessoria Estatística e Acadêmica</w:t>
              <w:br w:type="textWrapping"/>
              <w:t xml:space="preserve">Orcid: 0009-0009-2018-973X</w:t>
              <w:br w:type="textWrapping"/>
              <w:t xml:space="preserve">Contato: antunnyamerico@gmail.com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6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453.5755905511811pt;height:453.575590551181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tbl>
    <w:tblPr>
      <w:tblStyle w:val="Table4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