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90.0" w:type="dxa"/>
        <w:jc w:val="center"/>
        <w:tblLayout w:type="fixed"/>
        <w:tblLook w:val="0400"/>
      </w:tblPr>
      <w:tblGrid>
        <w:gridCol w:w="2040"/>
        <w:gridCol w:w="5580"/>
        <w:gridCol w:w="1470"/>
        <w:tblGridChange w:id="0">
          <w:tblGrid>
            <w:gridCol w:w="2040"/>
            <w:gridCol w:w="5580"/>
            <w:gridCol w:w="1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/>
              <w:drawing>
                <wp:inline distB="0" distT="0" distL="0" distR="0">
                  <wp:extent cx="1196400" cy="1177208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6400" cy="11772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3366"/>
                <w:sz w:val="40"/>
                <w:szCs w:val="40"/>
                <w:rtl w:val="0"/>
              </w:rPr>
              <w:t xml:space="preserve">ORÇAMENTO DE ANÁLISE</w:t>
              <w:br w:type="textWrapping"/>
              <w:t xml:space="preserve">ESTATÍSTICA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40" w:before="1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Fatores associados à adoção do controle biológico por produtores rurais da Região Metropolitana de Maringá, Paraná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Jonathan, Departamento de Biotecnologia, 08/09/2026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Descrição do serviço</w:t>
      </w:r>
      <w:r w:rsidDel="00000000" w:rsidR="00000000" w:rsidRPr="00000000">
        <w:rPr>
          <w:rtl w:val="0"/>
        </w:rPr>
      </w:r>
    </w:p>
    <w:tbl>
      <w:tblPr>
        <w:tblStyle w:val="Table2"/>
        <w:tblW w:w="9160.0" w:type="dxa"/>
        <w:jc w:val="center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4580"/>
        <w:gridCol w:w="4580"/>
        <w:tblGridChange w:id="0">
          <w:tblGrid>
            <w:gridCol w:w="4580"/>
            <w:gridCol w:w="4580"/>
          </w:tblGrid>
        </w:tblGridChange>
      </w:tblGrid>
      <w:tr>
        <w:trPr>
          <w:cantSplit w:val="0"/>
          <w:trHeight w:val="292" w:hRule="atLeast"/>
          <w:tblHeader w:val="0"/>
        </w:trPr>
        <w:tc>
          <w:tcPr>
            <w:tcBorders>
              <w:top w:color="cfe2f3" w:space="0" w:sz="6" w:val="single"/>
              <w:left w:color="cfe2f3" w:space="0" w:sz="6" w:val="single"/>
              <w:bottom w:color="cfe2f3" w:space="0" w:sz="6" w:val="single"/>
              <w:right w:color="cfe2f3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Demanda apresentada pelo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e2f3" w:space="0" w:sz="6" w:val="single"/>
              <w:left w:color="cfe2f3" w:space="0" w:sz="6" w:val="single"/>
              <w:bottom w:color="cfe2f3" w:space="0" w:sz="6" w:val="single"/>
              <w:right w:color="cfe2f3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Serviços e análises propostas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fe2f3" w:space="0" w:sz="6" w:val="single"/>
              <w:left w:color="cfe2f3" w:space="0" w:sz="6" w:val="single"/>
              <w:bottom w:color="cfe2f3" w:space="0" w:sz="6" w:val="single"/>
              <w:right w:color="cfe2f3" w:space="0" w:sz="6" w:val="single"/>
            </w:tcBorders>
            <w:tcMar>
              <w:top w:w="180.0" w:type="dxa"/>
              <w:left w:w="150.0" w:type="dxa"/>
              <w:bottom w:w="18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Organização e tratamento do banco de dados; realização das análises estatísticas descritivas e inferenciais, incluindo testes de associação e modelagem; interpretação dos resultados e elaboração de relatório técnico com tabelas, gráficos, conclusões e ajustes finais.</w:t>
            </w:r>
          </w:p>
        </w:tc>
        <w:tc>
          <w:tcPr>
            <w:tcBorders>
              <w:top w:color="cfe2f3" w:space="0" w:sz="6" w:val="single"/>
              <w:left w:color="cfe2f3" w:space="0" w:sz="6" w:val="single"/>
              <w:bottom w:color="cfe2f3" w:space="0" w:sz="6" w:val="single"/>
              <w:right w:color="cfe2f3" w:space="0" w:sz="6" w:val="single"/>
            </w:tcBorders>
            <w:tcMar>
              <w:top w:w="180.0" w:type="dxa"/>
              <w:left w:w="150.0" w:type="dxa"/>
              <w:bottom w:w="18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Modelo logístico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Etapas da análise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Fase 1: Organização do 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lineRule="auto"/>
        <w:ind w:left="340" w:hanging="360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Conferência, codificação, categorização e preparação das variáveis.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Fase 2: Análise estatística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lineRule="auto"/>
        <w:ind w:left="340" w:hanging="360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Análises descritivas, testes de associação, modelagem estatística e avaliação do ajuste.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Fase 3: Relatório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lineRule="auto"/>
        <w:ind w:left="340" w:hanging="360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Interpretação dos resultados, construção de tabelas e gráficos, conclusões e ajustes finais.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lineRule="auto"/>
        <w:ind w:left="36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Observações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 valor orçado está em conformidade com as análises realizadas, considerando as especificidades do banco de dados e a urgência da pesquisa. Conforme acordado por mensagem, foi aplicado um desconto ao valor final em razão da parceria para a publicação do artigo.</w:t>
      </w:r>
    </w:p>
    <w:p w:rsidR="00000000" w:rsidDel="00000000" w:rsidP="00000000" w:rsidRDefault="00000000" w:rsidRPr="00000000" w14:paraId="00000016">
      <w:pPr>
        <w:spacing w:after="20" w:lineRule="auto"/>
        <w:jc w:val="both"/>
        <w:rPr>
          <w:rFonts w:ascii="Times New Roman" w:cs="Times New Roman" w:eastAsia="Times New Roman" w:hAnsi="Times New Roman"/>
          <w:b w:val="1"/>
          <w:bCs w:val="1"/>
          <w:color w:val="003366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3366"/>
          <w:sz w:val="18"/>
          <w:szCs w:val="18"/>
          <w:rtl w:val="0"/>
        </w:rPr>
        <w:t xml:space="preserve">Sobre a HAS Analytics</w:t>
      </w:r>
    </w:p>
    <w:p w:rsidR="00000000" w:rsidDel="00000000" w:rsidP="00000000" w:rsidRDefault="00000000" w:rsidRPr="00000000" w14:paraId="00000017">
      <w:pPr>
        <w:spacing w:after="20" w:lineRule="auto"/>
        <w:jc w:val="both"/>
        <w:rPr>
          <w:rFonts w:ascii="Times New Roman" w:cs="Times New Roman" w:eastAsia="Times New Roman" w:hAnsi="Times New Roman"/>
          <w:color w:val="4f81bd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4f81bd"/>
          <w:sz w:val="18"/>
          <w:szCs w:val="18"/>
          <w:rtl w:val="0"/>
        </w:rPr>
        <w:t xml:space="preserve">A HAS Analytics atua no apoio à análise de dados, Estatística Aplicada e assessoria acadêmico-científica, contribuindo para a organização, modelagem, interpretação e apresentação de resultados em pesquisas de diferentes áreas do conhecimento.</w:t>
      </w:r>
    </w:p>
    <w:p w:rsidR="00000000" w:rsidDel="00000000" w:rsidP="00000000" w:rsidRDefault="00000000" w:rsidRPr="00000000" w14:paraId="00000018">
      <w:pPr>
        <w:spacing w:after="2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4110.0" w:type="dxa"/>
        <w:jc w:val="righ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110"/>
        <w:tblGridChange w:id="0">
          <w:tblGrid>
            <w:gridCol w:w="4110"/>
          </w:tblGrid>
        </w:tblGridChange>
      </w:tblGrid>
      <w:tr>
        <w:trPr>
          <w:cantSplit w:val="0"/>
          <w:trHeight w:val="148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10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Investimento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2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Valor total dos serviços: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R$ 1.772,50</w:t>
            </w:r>
          </w:p>
          <w:p w:rsidR="00000000" w:rsidDel="00000000" w:rsidP="00000000" w:rsidRDefault="00000000" w:rsidRPr="00000000" w14:paraId="0000001B">
            <w:pPr>
              <w:spacing w:after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Desconto concedido: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53%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20" w:lineRule="auto"/>
              <w:rPr>
                <w:rFonts w:ascii="Times New Roman" w:cs="Times New Roman" w:eastAsia="Times New Roman" w:hAnsi="Times New Roman"/>
                <w:b w:val="1"/>
                <w:bCs w:val="1"/>
                <w:color w:val="ee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Valor total: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e0000"/>
                <w:sz w:val="22"/>
                <w:szCs w:val="22"/>
                <w:rtl w:val="0"/>
              </w:rPr>
              <w:t xml:space="preserve">R$ 833,07</w:t>
            </w:r>
          </w:p>
          <w:p w:rsidR="00000000" w:rsidDel="00000000" w:rsidP="00000000" w:rsidRDefault="00000000" w:rsidRPr="00000000" w14:paraId="0000001D">
            <w:pPr>
              <w:spacing w:after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Forma de pagamento: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A combinar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20" w:lineRule="auto"/>
              <w:rPr>
                <w:rFonts w:ascii="Quattrocento Sans" w:cs="Quattrocento Sans" w:eastAsia="Quattrocento Sans" w:hAnsi="Quattrocento Sans"/>
                <w:color w:val="000000"/>
                <w:sz w:val="6"/>
                <w:szCs w:val="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Data prevista de entrega: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20/07/2026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Quattrocento Sans" w:cs="Quattrocento Sans" w:eastAsia="Quattrocento Sans" w:hAnsi="Quattrocento Sans"/>
          <w:color w:val="000000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90.0" w:type="dxa"/>
        <w:jc w:val="center"/>
        <w:tblLayout w:type="fixed"/>
        <w:tblLook w:val="0400"/>
      </w:tblPr>
      <w:tblGrid>
        <w:gridCol w:w="9090"/>
        <w:tblGridChange w:id="0">
          <w:tblGrid>
            <w:gridCol w:w="9090"/>
          </w:tblGrid>
        </w:tblGridChange>
      </w:tblGrid>
      <w:tr>
        <w:trPr>
          <w:cantSplit w:val="0"/>
          <w:trHeight w:val="7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1"/>
              <w:keepLines w:val="1"/>
              <w:spacing w:before="400" w:lin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3366"/>
                <w:sz w:val="36"/>
                <w:szCs w:val="36"/>
                <w:rtl w:val="0"/>
              </w:rPr>
              <w:t xml:space="preserve">Américo, H.A.S.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3366"/>
                <w:sz w:val="18"/>
                <w:szCs w:val="18"/>
              </w:rPr>
              <w:drawing>
                <wp:inline distB="114300" distT="114300" distL="114300" distR="114300">
                  <wp:extent cx="2442106" cy="775103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2106" cy="7751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3366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1"/>
              <w:keepLines w:val="1"/>
              <w:spacing w:before="400" w:line="120" w:lineRule="auto"/>
              <w:jc w:val="center"/>
              <w:rPr>
                <w:rFonts w:ascii="Times New Roman" w:cs="Times New Roman" w:eastAsia="Times New Roman" w:hAnsi="Times New Roman"/>
                <w:color w:val="787878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87878"/>
                <w:sz w:val="20"/>
                <w:szCs w:val="20"/>
                <w:rtl w:val="0"/>
              </w:rPr>
              <w:t xml:space="preserve">Haward Antunny S. Américo</w:t>
            </w:r>
          </w:p>
          <w:p w:rsidR="00000000" w:rsidDel="00000000" w:rsidP="00000000" w:rsidRDefault="00000000" w:rsidRPr="00000000" w14:paraId="00000022">
            <w:pPr>
              <w:keepNext w:val="1"/>
              <w:keepLines w:val="1"/>
              <w:spacing w:after="0" w:before="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3366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87878"/>
                <w:sz w:val="20"/>
                <w:szCs w:val="20"/>
                <w:rtl w:val="0"/>
              </w:rPr>
              <w:t xml:space="preserve">Assessoria Estatística e Acadêmica</w:t>
              <w:br w:type="textWrapping"/>
              <w:t xml:space="preserve">Orcid: 0009-0009-2018-973X</w:t>
              <w:br w:type="textWrapping"/>
              <w:t xml:space="preserve">Contato: antunnyamerico@gmail.com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before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17" w:top="1417" w:left="1417" w:right="141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6"/>
      <w:tblW w:w="11906.0" w:type="dxa"/>
      <w:jc w:val="left"/>
      <w:tblInd w:w="-1532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1906"/>
      <w:tblGridChange w:id="0">
        <w:tblGrid>
          <w:gridCol w:w="11906"/>
        </w:tblGrid>
      </w:tblGridChange>
    </w:tblGrid>
    <w:tr>
      <w:trPr>
        <w:cantSplit w:val="0"/>
        <w:trHeight w:val="405" w:hRule="atLeast"/>
        <w:tblHeader w:val="0"/>
      </w:trPr>
      <w:tc>
        <w:tcPr>
          <w:shd w:fill="003366" w:val="clear"/>
        </w:tcPr>
        <w:p w:rsidR="00000000" w:rsidDel="00000000" w:rsidP="00000000" w:rsidRDefault="00000000" w:rsidRPr="00000000" w14:paraId="00000028">
          <w:pPr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9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/>
      <w:pict>
        <v:shape id="WordPictureWatermark1" style="position:absolute;width:453.6pt;height:453.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>
        <w:rtl w:val="0"/>
      </w:rPr>
    </w:r>
  </w:p>
  <w:tbl>
    <w:tblPr>
      <w:tblStyle w:val="Table5"/>
      <w:tblW w:w="11906.0" w:type="dxa"/>
      <w:jc w:val="left"/>
      <w:tblInd w:w="-1532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1906"/>
      <w:tblGridChange w:id="0">
        <w:tblGrid>
          <w:gridCol w:w="11906"/>
        </w:tblGrid>
      </w:tblGridChange>
    </w:tblGrid>
    <w:tr>
      <w:trPr>
        <w:cantSplit w:val="0"/>
        <w:trHeight w:val="750" w:hRule="atLeast"/>
        <w:tblHeader w:val="0"/>
      </w:trPr>
      <w:tc>
        <w:tcPr>
          <w:shd w:fill="003366" w:val="clear"/>
        </w:tcPr>
        <w:p w:rsidR="00000000" w:rsidDel="00000000" w:rsidP="00000000" w:rsidRDefault="00000000" w:rsidRPr="00000000" w14:paraId="00000025">
          <w:pPr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120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