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2.000000000000455" w:tblpY="0"/>
        <w:tblW w:w="9090.0" w:type="dxa"/>
        <w:jc w:val="left"/>
        <w:tblLayout w:type="fixed"/>
        <w:tblLook w:val="0400"/>
      </w:tblPr>
      <w:tblGrid>
        <w:gridCol w:w="2040"/>
        <w:gridCol w:w="5580"/>
        <w:gridCol w:w="1470"/>
        <w:tblGridChange w:id="0">
          <w:tblGrid>
            <w:gridCol w:w="2040"/>
            <w:gridCol w:w="558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1066483" cy="1078602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483" cy="10786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40"/>
                <w:szCs w:val="40"/>
                <w:rtl w:val="0"/>
              </w:rPr>
              <w:t xml:space="preserve">ORÇAMENTO DE ANÁLISE</w:t>
              <w:br w:type="textWrapping"/>
              <w:t xml:space="preserve">ESTATÍSTICA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6"/>
          <w:szCs w:val="26"/>
          <w:rtl w:val="0"/>
        </w:rPr>
        <w:t xml:space="preserve">{{TITULO_PROJETO}}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{{NOME_CLIENTE}}, {{DEPARTAMENTO}}, {{DATA}}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Descrição do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{{DESCRICAO_SERVICO}}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Etapas da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Fase 1: Organização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banco 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{{FASE_1}}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Fase 2: Análise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{{FASE_2}}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Fase 3: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{{FASE_3}}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i w:val="0"/>
          <w:i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{{OBSERVACOES}}</w:t>
      </w:r>
    </w:p>
    <w:p w:rsidR="00000000" w:rsidDel="00000000" w:rsidP="00000000" w:rsidRDefault="00000000" w:rsidRPr="00000000" w14:paraId="00000013">
      <w:pPr>
        <w:spacing w:after="20" w:lineRule="auto"/>
        <w:jc w:val="both"/>
        <w:rPr>
          <w:rFonts w:ascii="Times New Roman" w:cs="Times New Roman" w:eastAsia="Times New Roman" w:hAnsi="Times New Roman"/>
          <w:b w:val="1"/>
          <w:bCs w:val="1"/>
          <w:color w:val="003366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22"/>
          <w:szCs w:val="22"/>
          <w:rtl w:val="0"/>
        </w:rPr>
        <w:t xml:space="preserve">Sobre a HAS Analytics</w:t>
      </w:r>
    </w:p>
    <w:p w:rsidR="00000000" w:rsidDel="00000000" w:rsidP="00000000" w:rsidRDefault="00000000" w:rsidRPr="00000000" w14:paraId="00000014">
      <w:pPr>
        <w:spacing w:after="20" w:lineRule="auto"/>
        <w:jc w:val="both"/>
        <w:rPr>
          <w:rFonts w:ascii="Times New Roman" w:cs="Times New Roman" w:eastAsia="Times New Roman" w:hAnsi="Times New Roman"/>
          <w:color w:val="4f81bd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22"/>
          <w:szCs w:val="22"/>
          <w:rtl w:val="0"/>
        </w:rPr>
        <w:t xml:space="preserve">A HAS Analytics atua no apoio à análise de dados, Bioestatística Aplicada e assessoria acadêmico-científica, contribuindo para a organização, modelagem, interpretação e apresentação de resultados em pesquisas de diferentes áreas do conhecimento.</w:t>
      </w:r>
    </w:p>
    <w:p w:rsidR="00000000" w:rsidDel="00000000" w:rsidP="00000000" w:rsidRDefault="00000000" w:rsidRPr="00000000" w14:paraId="00000015">
      <w:pPr>
        <w:spacing w:after="2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2.999999999999545" w:tblpY="5.0830078125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Valor total: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{{VALOR_FINAL}}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 de pagamento: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{{FORMA_PAGAMENTO}}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prevista de entrega: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{{PRAZO_ENTREGA}}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4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52.999999999999545" w:tblpY="0"/>
        <w:tblW w:w="9090.0" w:type="dxa"/>
        <w:jc w:val="left"/>
        <w:tblLayout w:type="fixed"/>
        <w:tblLook w:val="04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36"/>
                <w:szCs w:val="36"/>
                <w:rtl w:val="0"/>
              </w:rPr>
              <w:t xml:space="preserve">Américo, H.A.S.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2162493" cy="684226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93" cy="684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  <w:color w:val="787878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18"/>
                <w:szCs w:val="18"/>
                <w:rtl w:val="0"/>
              </w:rPr>
              <w:t xml:space="preserve">Haward Antunny S. Américo</w:t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18"/>
                <w:szCs w:val="18"/>
                <w:rtl w:val="0"/>
              </w:rPr>
              <w:t xml:space="preserve">Assessoria Estatística e Acadêmica</w:t>
              <w:br w:type="textWrapping"/>
              <w:t xml:space="preserve">Orcid: 0009-0009-2018-973X</w:t>
              <w:br w:type="textWrapping"/>
              <w:t xml:space="preserve">Contato: antunnyamerico@gmail.com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40" w:lineRule="auto"/>
        <w:rPr>
          <w:rFonts w:ascii="Times New Roman" w:cs="Times New Roman" w:eastAsia="Times New Roman" w:hAnsi="Times New Roman"/>
          <w:color w:val="00336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405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4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pict>
        <v:shape id="WordPictureWatermark1" style="position:absolute;width:453.5755905511811pt;height:453.575590551181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  <w:tbl>
    <w:tblPr>
      <w:tblStyle w:val="Table4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750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