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1A88" w14:textId="61728B9A" w:rsidR="00A808CC" w:rsidRDefault="004B6DCF">
      <w:r w:rsidRPr="004B6DCF">
        <w:rPr>
          <w:b/>
          <w:bCs/>
        </w:rPr>
        <w:t>Inhaltliche Unterschiede:</w:t>
      </w:r>
      <w:r w:rsidRPr="004B6DCF">
        <w:t xml:space="preserve"> Es gibt Unterschiede in den Fragen zur Wahrnehmung von Mental Health-Angeboten, der Unternehmenskultur und der Kommunikation über seelische Belastungen, vor allem zwischen der 2022er-Datei und den 2023er-Dateien.</w:t>
      </w:r>
    </w:p>
    <w:p w14:paraId="139EA9B4" w14:textId="77777777" w:rsidR="004B6DCF" w:rsidRDefault="004B6DCF"/>
    <w:p w14:paraId="7F1250D3" w14:textId="373F4F54" w:rsidR="004B6DCF" w:rsidRDefault="004B6DCF">
      <w:r>
        <w:rPr>
          <w:b/>
          <w:bCs/>
        </w:rPr>
        <w:t>S</w:t>
      </w:r>
      <w:r w:rsidRPr="004B6DCF">
        <w:rPr>
          <w:b/>
          <w:bCs/>
        </w:rPr>
        <w:t>eelische Belastung</w:t>
      </w:r>
      <w:r w:rsidRPr="004B6DCF">
        <w:t xml:space="preserve"> in den </w:t>
      </w:r>
      <w:r w:rsidRPr="004B6DCF">
        <w:rPr>
          <w:b/>
          <w:bCs/>
        </w:rPr>
        <w:t>2023er-Dateien</w:t>
      </w:r>
      <w:r w:rsidRPr="004B6DCF">
        <w:t xml:space="preserve"> umfassen viele Fragen zu familiären Belastungen, Hilfsangeboten und dem Umgang mit seelischen Belastungen</w:t>
      </w:r>
    </w:p>
    <w:p w14:paraId="46A766C2" w14:textId="77777777" w:rsidR="004B6DCF" w:rsidRDefault="004B6DCF"/>
    <w:p w14:paraId="5E9F89FF" w14:textId="53BE8E64" w:rsidR="004B6DCF" w:rsidRDefault="004B6DCF">
      <w:r>
        <w:t>Unterschiede:</w:t>
      </w:r>
    </w:p>
    <w:p w14:paraId="31142981" w14:textId="51375233" w:rsidR="004B6DCF" w:rsidRPr="004B6DCF" w:rsidRDefault="004B6DCF" w:rsidP="004B6DCF">
      <w:r w:rsidRPr="004B6DCF">
        <w:t xml:space="preserve"> </w:t>
      </w:r>
      <w:r w:rsidRPr="004B6DCF">
        <w:rPr>
          <w:b/>
          <w:bCs/>
        </w:rPr>
        <w:t>2022 (August)</w:t>
      </w:r>
      <w:r w:rsidRPr="004B6DCF">
        <w:t>:</w:t>
      </w:r>
    </w:p>
    <w:p w14:paraId="6D890E4E" w14:textId="77777777" w:rsidR="004B6DCF" w:rsidRPr="004B6DCF" w:rsidRDefault="004B6DCF" w:rsidP="004B6DCF">
      <w:pPr>
        <w:numPr>
          <w:ilvl w:val="0"/>
          <w:numId w:val="1"/>
        </w:numPr>
      </w:pPr>
      <w:r w:rsidRPr="004B6DCF">
        <w:t xml:space="preserve">Der Fokus liegt stark auf der </w:t>
      </w:r>
      <w:r w:rsidRPr="004B6DCF">
        <w:rPr>
          <w:b/>
          <w:bCs/>
        </w:rPr>
        <w:t>Unternehmenskultur</w:t>
      </w:r>
      <w:r w:rsidRPr="004B6DCF">
        <w:t xml:space="preserve"> (z.B. Zusammenarbeit mit Führungskraft und Team, Unternehmenskultur als negativ wahrgenommen).</w:t>
      </w:r>
    </w:p>
    <w:p w14:paraId="3DF6BB60" w14:textId="77777777" w:rsidR="004B6DCF" w:rsidRPr="004B6DCF" w:rsidRDefault="004B6DCF" w:rsidP="004B6DCF">
      <w:pPr>
        <w:numPr>
          <w:ilvl w:val="0"/>
          <w:numId w:val="1"/>
        </w:numPr>
      </w:pPr>
      <w:r w:rsidRPr="004B6DCF">
        <w:t xml:space="preserve">Es gibt detailliertere Fragen zu </w:t>
      </w:r>
      <w:r w:rsidRPr="004B6DCF">
        <w:rPr>
          <w:b/>
          <w:bCs/>
        </w:rPr>
        <w:t>Mental Health</w:t>
      </w:r>
      <w:r w:rsidRPr="004B6DCF">
        <w:t xml:space="preserve"> im Zusammenhang mit der Arbeit und der Unterstützung durch das Unternehmen.</w:t>
      </w:r>
    </w:p>
    <w:p w14:paraId="3D7F2139" w14:textId="5D8D9867" w:rsidR="004B6DCF" w:rsidRPr="004B6DCF" w:rsidRDefault="004B6DCF" w:rsidP="004B6DCF">
      <w:r w:rsidRPr="004B6DCF">
        <w:rPr>
          <w:b/>
          <w:bCs/>
        </w:rPr>
        <w:t>2023 (April und Oktober)</w:t>
      </w:r>
      <w:r w:rsidRPr="004B6DCF">
        <w:t>:</w:t>
      </w:r>
    </w:p>
    <w:p w14:paraId="512A6F42" w14:textId="77777777" w:rsidR="004B6DCF" w:rsidRPr="004B6DCF" w:rsidRDefault="004B6DCF" w:rsidP="004B6DCF">
      <w:pPr>
        <w:numPr>
          <w:ilvl w:val="0"/>
          <w:numId w:val="2"/>
        </w:numPr>
      </w:pPr>
      <w:r w:rsidRPr="004B6DCF">
        <w:t xml:space="preserve">Der Fokus liegt mehr auf den </w:t>
      </w:r>
      <w:r w:rsidRPr="004B6DCF">
        <w:rPr>
          <w:b/>
          <w:bCs/>
        </w:rPr>
        <w:t>familiären Aspekten</w:t>
      </w:r>
      <w:r w:rsidRPr="004B6DCF">
        <w:t xml:space="preserve"> der mentalen Gesundheit und weniger auf der </w:t>
      </w:r>
      <w:r w:rsidRPr="004B6DCF">
        <w:rPr>
          <w:b/>
          <w:bCs/>
        </w:rPr>
        <w:t>Unternehmenskultur</w:t>
      </w:r>
      <w:r w:rsidRPr="004B6DCF">
        <w:t>.</w:t>
      </w:r>
    </w:p>
    <w:p w14:paraId="63FB11DD" w14:textId="77777777" w:rsidR="004B6DCF" w:rsidRDefault="004B6DCF" w:rsidP="004B6DCF">
      <w:pPr>
        <w:numPr>
          <w:ilvl w:val="0"/>
          <w:numId w:val="2"/>
        </w:numPr>
      </w:pPr>
      <w:r w:rsidRPr="004B6DCF">
        <w:rPr>
          <w:b/>
          <w:bCs/>
        </w:rPr>
        <w:t>Hilfsangebote</w:t>
      </w:r>
      <w:r w:rsidRPr="004B6DCF">
        <w:t xml:space="preserve"> und der </w:t>
      </w:r>
      <w:r w:rsidRPr="004B6DCF">
        <w:rPr>
          <w:b/>
          <w:bCs/>
        </w:rPr>
        <w:t>Zugang</w:t>
      </w:r>
      <w:r w:rsidRPr="004B6DCF">
        <w:t xml:space="preserve"> zu therapeutischer Unterstützung (z.B. Psychotherapie) sind stärker betont, einschließlich der Gründe, warum Menschen keine Hilfe suchen.</w:t>
      </w:r>
    </w:p>
    <w:p w14:paraId="7AE7481E" w14:textId="1B88AB37" w:rsidR="002F02C2" w:rsidRPr="004B6DCF" w:rsidRDefault="002F02C2" w:rsidP="002F02C2">
      <w:r>
        <w:t>Analysen</w:t>
      </w:r>
    </w:p>
    <w:p w14:paraId="1048E65E" w14:textId="637C9564" w:rsidR="004B6DCF" w:rsidRP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2022 (August)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: Der Altersdurchschnitt liegt bei </w:t>
      </w: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40,84 Jahren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57BA512E" w14:textId="41B6A139" w:rsidR="004B6DCF" w:rsidRP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2023 (April)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: Der Altersdurchschnitt beträgt </w:t>
      </w: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39,84 Jahre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C72BCC4" w14:textId="4C710EBF" w:rsid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2023 (Oktober)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: Der Altersdurchschnitt liegt bei </w:t>
      </w:r>
      <w:r w:rsidRPr="004B6DC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41,06 Jahren</w:t>
      </w: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09525F8" w14:textId="77777777" w:rsidR="004B6DCF" w:rsidRPr="004B6DCF" w:rsidRDefault="004B6DCF" w:rsidP="004B6DCF">
      <w:pPr>
        <w:pStyle w:val="StandardWeb"/>
        <w:spacing w:after="0" w:after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02057D2" w14:textId="42F1CAB7" w:rsidR="004B6DCF" w:rsidRP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2022 (August): 985 Teilnehmer aus Deutschland.</w:t>
      </w:r>
    </w:p>
    <w:p w14:paraId="33D5DDC5" w14:textId="227FB02D" w:rsidR="004B6DCF" w:rsidRP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2023 (April): 1000 Teilnehmer aus Deutschland.</w:t>
      </w:r>
    </w:p>
    <w:p w14:paraId="2EA9972C" w14:textId="35A6CA1B" w:rsidR="004B6DCF" w:rsidRDefault="004B6DCF" w:rsidP="004B6DCF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B6DC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2023 (Oktober): 1001 Teilnehmer aus Deutschland.</w:t>
      </w:r>
    </w:p>
    <w:p w14:paraId="055D2C97" w14:textId="77777777" w:rsidR="005844F4" w:rsidRDefault="005844F4" w:rsidP="005844F4">
      <w:pPr>
        <w:pStyle w:val="StandardWeb"/>
        <w:spacing w:before="0" w:before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2E611A0" w14:textId="15D5BD0E" w:rsidR="005844F4" w:rsidRPr="005844F4" w:rsidRDefault="005844F4" w:rsidP="005844F4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2024 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DE: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1000 Teilnehmer, Alterdurschnitt 41</w:t>
      </w:r>
    </w:p>
    <w:p w14:paraId="6F3EED68" w14:textId="0CF3CCD1" w:rsidR="005844F4" w:rsidRPr="005844F4" w:rsidRDefault="005844F4" w:rsidP="005844F4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2024 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UK: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500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Teilnehmer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Alterdurschnitt 4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0</w:t>
      </w:r>
    </w:p>
    <w:p w14:paraId="5C269728" w14:textId="00053902" w:rsidR="005844F4" w:rsidRPr="005844F4" w:rsidRDefault="005844F4" w:rsidP="005844F4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2024 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FR: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500 Teilnehmer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Alterdurschnitt 4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0</w:t>
      </w:r>
    </w:p>
    <w:p w14:paraId="4F81B46B" w14:textId="6368B55A" w:rsidR="005844F4" w:rsidRPr="005844F4" w:rsidRDefault="005844F4" w:rsidP="005844F4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2024 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ES: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500 Teilnehmer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,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Alterdurschnitt 4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0</w:t>
      </w:r>
    </w:p>
    <w:p w14:paraId="3489D69C" w14:textId="43021D4E" w:rsidR="005844F4" w:rsidRDefault="005844F4" w:rsidP="005844F4">
      <w:pPr>
        <w:pStyle w:val="Standard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2024 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US:</w:t>
      </w: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500 Teilnehmer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Alterdurschnitt 4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0</w:t>
      </w:r>
    </w:p>
    <w:p w14:paraId="1F9CA0BB" w14:textId="32FEBBC7" w:rsidR="005844F4" w:rsidRDefault="005844F4" w:rsidP="005844F4">
      <w:pPr>
        <w:pStyle w:val="StandardWeb"/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Alle Länder sind generell eher glücklich von 42 – 55% außer USA, die sind auf jeden Fall glücklich mit 57%</w:t>
      </w:r>
    </w:p>
    <w:p w14:paraId="29CB0652" w14:textId="65D8436E" w:rsidR="005844F4" w:rsidRPr="005844F4" w:rsidRDefault="005844F4" w:rsidP="005844F4">
      <w:pPr>
        <w:pStyle w:val="StandardWeb"/>
        <w:spacing w:before="0" w:before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lastRenderedPageBreak/>
        <w:t>Die Mentale Gesundheit der Menschen in den Ländern hat sich auch verbessert und es sind nur unter 20% der Menschen unzufrieden</w:t>
      </w:r>
    </w:p>
    <w:p w14:paraId="0A6A2760" w14:textId="26FAE8B4" w:rsidR="004B6DCF" w:rsidRPr="004B6DCF" w:rsidRDefault="005844F4" w:rsidP="005844F4">
      <w:pPr>
        <w:pStyle w:val="StandardWeb"/>
        <w:spacing w:before="0" w:beforeAutospacing="0"/>
        <w:ind w:left="72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5844F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</w:p>
    <w:p w14:paraId="14D98CD5" w14:textId="77777777" w:rsidR="004B6DCF" w:rsidRPr="005844F4" w:rsidRDefault="004B6DCF" w:rsidP="005844F4">
      <w:pPr>
        <w:pStyle w:val="StandardWeb"/>
        <w:spacing w:before="0" w:beforeAutospacing="0"/>
        <w:ind w:left="72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</w:p>
    <w:p w14:paraId="7A55BD89" w14:textId="77777777" w:rsidR="004B6DCF" w:rsidRPr="005844F4" w:rsidRDefault="004B6DCF" w:rsidP="005844F4">
      <w:pPr>
        <w:pStyle w:val="StandardWeb"/>
        <w:spacing w:before="0" w:beforeAutospacing="0"/>
        <w:ind w:left="36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</w:p>
    <w:sectPr w:rsidR="004B6DCF" w:rsidRPr="00584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545DB"/>
    <w:multiLevelType w:val="multilevel"/>
    <w:tmpl w:val="53F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1FAA"/>
    <w:multiLevelType w:val="multilevel"/>
    <w:tmpl w:val="EB5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69449">
    <w:abstractNumId w:val="0"/>
  </w:num>
  <w:num w:numId="2" w16cid:durableId="23104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CF"/>
    <w:rsid w:val="001B1C61"/>
    <w:rsid w:val="002F02C2"/>
    <w:rsid w:val="004B6DCF"/>
    <w:rsid w:val="005844F4"/>
    <w:rsid w:val="00A808CC"/>
    <w:rsid w:val="00C9656C"/>
    <w:rsid w:val="00FA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6A50"/>
  <w15:chartTrackingRefBased/>
  <w15:docId w15:val="{0B015EC0-E6FC-4077-857E-4CFC49C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D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D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D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D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D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D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6D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6D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6D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6D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6DC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B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B6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Birol Ayar</dc:creator>
  <cp:keywords/>
  <dc:description/>
  <cp:lastModifiedBy>Birol Ayar</cp:lastModifiedBy>
  <cp:revision>2</cp:revision>
  <dcterms:created xsi:type="dcterms:W3CDTF">2025-07-06T17:53:00Z</dcterms:created>
  <dcterms:modified xsi:type="dcterms:W3CDTF">2025-07-06T17:53:00Z</dcterms:modified>
</cp:coreProperties>
</file>