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62F0" w14:textId="77777777" w:rsidR="00171ED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57A57391" w14:textId="77777777" w:rsidR="00171ED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014F6E7A" w14:textId="77777777" w:rsidR="00171ED3" w:rsidRDefault="00171ED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1ED3" w14:paraId="3C7073F1" w14:textId="77777777">
        <w:tc>
          <w:tcPr>
            <w:tcW w:w="4508" w:type="dxa"/>
          </w:tcPr>
          <w:p w14:paraId="5F4DE7E7" w14:textId="77777777" w:rsidR="00171E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C681DA" w14:textId="77777777" w:rsidR="00171E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171ED3" w14:paraId="1EA00E3D" w14:textId="77777777">
        <w:tc>
          <w:tcPr>
            <w:tcW w:w="4508" w:type="dxa"/>
          </w:tcPr>
          <w:p w14:paraId="411CC608" w14:textId="77777777" w:rsidR="00171E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E606D0" w14:textId="77777777" w:rsidR="00171ED3" w:rsidRDefault="00171ED3">
            <w:pPr>
              <w:rPr>
                <w:rFonts w:ascii="Calibri" w:eastAsia="Calibri" w:hAnsi="Calibri" w:cs="Calibri"/>
              </w:rPr>
            </w:pPr>
          </w:p>
        </w:tc>
      </w:tr>
      <w:tr w:rsidR="00171ED3" w14:paraId="6580501D" w14:textId="77777777">
        <w:tc>
          <w:tcPr>
            <w:tcW w:w="4508" w:type="dxa"/>
          </w:tcPr>
          <w:p w14:paraId="7D4F083B" w14:textId="77777777" w:rsidR="00171E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FBC9FA" w14:textId="77777777" w:rsidR="00171E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171ED3" w14:paraId="26D6C0E6" w14:textId="77777777">
        <w:tc>
          <w:tcPr>
            <w:tcW w:w="4508" w:type="dxa"/>
          </w:tcPr>
          <w:p w14:paraId="068E4FA4" w14:textId="77777777" w:rsidR="00171E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91F7A9" w14:textId="77777777" w:rsidR="00171E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7B2FB5E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8620763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3C22A51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ADE5EF5" w14:textId="77777777" w:rsidR="00171E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Architecture:</w:t>
      </w:r>
    </w:p>
    <w:p w14:paraId="3FEDCED2" w14:textId="1A1D4EC6" w:rsidR="00171ED3" w:rsidRDefault="00AA724D">
      <w:pPr>
        <w:shd w:val="clear" w:color="auto" w:fill="FFFFFF"/>
        <w:spacing w:after="150" w:line="360" w:lineRule="auto"/>
        <w:rPr>
          <w:rFonts w:ascii="Calibri" w:eastAsia="Calibri" w:hAnsi="Calibri" w:cs="Calibri"/>
        </w:rPr>
      </w:pPr>
      <w:r w:rsidRPr="00AA724D">
        <w:rPr>
          <w:rFonts w:ascii="Calibri" w:eastAsia="Calibri" w:hAnsi="Calibri" w:cs="Calibri"/>
        </w:rPr>
        <w:t xml:space="preserve">The solution architecture of the Flight Booking System is designed to deliver a secure, scalable, and user-friendly environment for seamless flight reservations. It emphasizes high-speed search functionality, real-time updates from airline systems, secure payment processing, and dependable ticket/PNR generation. This ensures a smooth booking experience for passengers and efficient operational control for </w:t>
      </w:r>
      <w:proofErr w:type="gramStart"/>
      <w:r w:rsidRPr="00AA724D">
        <w:rPr>
          <w:rFonts w:ascii="Calibri" w:eastAsia="Calibri" w:hAnsi="Calibri" w:cs="Calibri"/>
        </w:rPr>
        <w:t>admins.</w:t>
      </w:r>
      <w:r>
        <w:rPr>
          <w:rFonts w:ascii="Calibri" w:eastAsia="Calibri" w:hAnsi="Calibri" w:cs="Calibri"/>
        </w:rPr>
        <w:t>.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</w:p>
    <w:p w14:paraId="219C1CBF" w14:textId="056FD80C" w:rsidR="00171ED3" w:rsidRDefault="00AA724D" w:rsidP="00AA724D">
      <w:pPr>
        <w:shd w:val="clear" w:color="auto" w:fill="FFFFFF"/>
        <w:spacing w:after="150" w:line="480" w:lineRule="auto"/>
        <w:ind w:left="720"/>
        <w:rPr>
          <w:rFonts w:ascii="Calibri" w:eastAsia="Calibri" w:hAnsi="Calibri" w:cs="Calibri"/>
        </w:rPr>
      </w:pPr>
      <w:r w:rsidRPr="00AA724D">
        <w:rPr>
          <w:rFonts w:ascii="Calibri" w:eastAsia="Calibri" w:hAnsi="Calibri" w:cs="Calibri"/>
          <w:color w:val="000000"/>
        </w:rPr>
        <w:t>● Smooth and intuitive workflow for searching and booking flights</w:t>
      </w:r>
      <w:r w:rsidRPr="00AA724D">
        <w:rPr>
          <w:rFonts w:ascii="Calibri" w:eastAsia="Calibri" w:hAnsi="Calibri" w:cs="Calibri"/>
          <w:color w:val="000000"/>
        </w:rPr>
        <w:br/>
        <w:t>● Complete ticket process: search → review details → payment → receive ticket</w:t>
      </w:r>
      <w:r w:rsidRPr="00AA724D">
        <w:rPr>
          <w:rFonts w:ascii="Calibri" w:eastAsia="Calibri" w:hAnsi="Calibri" w:cs="Calibri"/>
          <w:color w:val="000000"/>
        </w:rPr>
        <w:br/>
        <w:t>● Scalable authentication mechanism for passengers and administrative users</w:t>
      </w:r>
      <w:r w:rsidRPr="00AA724D">
        <w:rPr>
          <w:rFonts w:ascii="Calibri" w:eastAsia="Calibri" w:hAnsi="Calibri" w:cs="Calibri"/>
          <w:color w:val="000000"/>
        </w:rPr>
        <w:br/>
        <w:t>● Encrypted online payments with immediate PNR and e-ticket creation</w:t>
      </w:r>
      <w:r w:rsidRPr="00AA724D">
        <w:rPr>
          <w:rFonts w:ascii="Calibri" w:eastAsia="Calibri" w:hAnsi="Calibri" w:cs="Calibri"/>
          <w:color w:val="000000"/>
        </w:rPr>
        <w:br/>
        <w:t>● Live synchronization with airline databases for up-to-date pricing and availability</w:t>
      </w:r>
      <w:r w:rsidRPr="00AA724D">
        <w:rPr>
          <w:rFonts w:ascii="Calibri" w:eastAsia="Calibri" w:hAnsi="Calibri" w:cs="Calibri"/>
          <w:color w:val="000000"/>
        </w:rPr>
        <w:br/>
        <w:t>● Automatic alerts through SMS/Email for confirmations, changes, and notifications</w:t>
      </w:r>
      <w:r w:rsidRPr="00AA724D">
        <w:rPr>
          <w:rFonts w:ascii="Calibri" w:eastAsia="Calibri" w:hAnsi="Calibri" w:cs="Calibri"/>
          <w:color w:val="000000"/>
        </w:rPr>
        <w:br/>
        <w:t>● Centralized management for flights, schedules, bookings, and passenger records</w:t>
      </w:r>
    </w:p>
    <w:p w14:paraId="7D07A05A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89F9C26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E363699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0D9486C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ABC43F5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387D6FB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4F583D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7F8FC12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5EB0532" w14:textId="77777777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4333404" w14:textId="77777777" w:rsidR="00171E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Example - Solution Architecture Diagram: </w:t>
      </w:r>
    </w:p>
    <w:p w14:paraId="0FE88706" w14:textId="28F97678" w:rsidR="00B730ED" w:rsidRPr="00B730ED" w:rsidRDefault="00B730ED" w:rsidP="00B730ED">
      <w:pPr>
        <w:spacing w:after="160" w:line="259" w:lineRule="auto"/>
        <w:rPr>
          <w:rFonts w:ascii="Calibri" w:eastAsia="Calibri" w:hAnsi="Calibri" w:cs="Calibri"/>
          <w:b/>
          <w:bCs/>
          <w:noProof/>
          <w:lang w:val="en-IN"/>
        </w:rPr>
      </w:pPr>
      <w:r w:rsidRPr="00B730ED">
        <w:rPr>
          <w:rFonts w:ascii="Calibri" w:eastAsia="Calibri" w:hAnsi="Calibri" w:cs="Calibri"/>
          <w:b/>
          <w:bCs/>
          <w:noProof/>
          <w:lang w:val="en-IN"/>
        </w:rPr>
        <w:drawing>
          <wp:inline distT="0" distB="0" distL="0" distR="0" wp14:anchorId="6A42634E" wp14:editId="4AD11D9C">
            <wp:extent cx="5936776" cy="4039235"/>
            <wp:effectExtent l="0" t="0" r="6985" b="0"/>
            <wp:docPr id="608650694" name="Picture 2" descr="A black and white screen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50694" name="Picture 2" descr="A black and white screen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015" cy="405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6A07" w14:textId="4ECD5A2D" w:rsidR="00171ED3" w:rsidRDefault="00171E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171E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96AC942-308E-40F6-9C0C-F6CA8DA0BD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51DDA6-8E0B-49E7-A3FD-DB8D832FC8AF}"/>
    <w:embedBold r:id="rId3" w:fontKey="{F2C6284C-2CAA-4B9C-8309-87988ACFAE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ECACF8-4318-45AE-A332-B1A58FFFC6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4B69"/>
    <w:multiLevelType w:val="multilevel"/>
    <w:tmpl w:val="D4E60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319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ED3"/>
    <w:rsid w:val="00171ED3"/>
    <w:rsid w:val="004B3FB9"/>
    <w:rsid w:val="00AA724D"/>
    <w:rsid w:val="00B730ED"/>
    <w:rsid w:val="00FF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F8F6"/>
  <w15:docId w15:val="{41F4BCA5-3B50-4FA2-B028-B71A7171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51CD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9T8g4PuhABvUM5po3sZwbkUudQ==">CgMxLjA4AHIhMTRWVjdTWjVCUUw5aG5JWklHRTlVOHMzNnlrY01iaTZs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3</cp:revision>
  <dcterms:created xsi:type="dcterms:W3CDTF">2025-12-04T10:34:00Z</dcterms:created>
  <dcterms:modified xsi:type="dcterms:W3CDTF">2025-12-06T07:01:00Z</dcterms:modified>
</cp:coreProperties>
</file>