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IPNET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4E79"/>
          <w:sz w:val="50"/>
          <w:szCs w:val="50"/>
        </w:rPr>
        <w:t xml:space="preserve">DSC 345 – MACHINE LEARNING</w:t>
      </w:r>
    </w:p>
    <w:p>
      <w:pPr>
        <w:spacing w:after="300"/>
        <w:jc w:val="center"/>
      </w:pPr>
      <w:r>
        <w:rPr>
          <w:rFonts w:ascii="Calibri" w:cs="Calibri" w:eastAsia="Calibri" w:hAnsi="Calibri"/>
          <w:b w:val="false"/>
          <w:bCs w:val="false"/>
          <w:color w:val="1F4E79"/>
          <w:sz w:val="38"/>
          <w:szCs w:val="38"/>
        </w:rPr>
        <w:t xml:space="preserve">Évaluations, exposés et travaux pratiques</w:t>
      </w:r>
    </w:p>
    <w:p>
      <w:pPr>
        <w:spacing w:after="1200"/>
        <w:jc w:val="center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Propositions détaillées et corrigés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Enseignant : Marc AYI AGBOLO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Document établi à partir du syllabus officiel du cours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1. Vue d'ensemble du dispositif d'évaluation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 document propose l'ensemble du dispositif d'évaluation du cours DSC 345, conformément à la pondération du syllabus. Conformément aux consignes : l'interrogation est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QCM</w:t>
      </w:r>
      <w:r>
        <w:rPr>
          <w:rFonts w:ascii="Calibri" w:cs="Calibri" w:eastAsia="Calibri" w:hAnsi="Calibri"/>
          <w:sz w:val="22"/>
          <w:szCs w:val="22"/>
        </w:rPr>
        <w:t xml:space="preserve"> ;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exposés</w:t>
      </w:r>
      <w:r>
        <w:rPr>
          <w:rFonts w:ascii="Calibri" w:cs="Calibri" w:eastAsia="Calibri" w:hAnsi="Calibri"/>
          <w:sz w:val="22"/>
          <w:szCs w:val="22"/>
        </w:rPr>
        <w:t xml:space="preserve"> se font en petits groupes avec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 moins dix sujets</w:t>
      </w:r>
      <w:r>
        <w:rPr>
          <w:rFonts w:ascii="Calibri" w:cs="Calibri" w:eastAsia="Calibri" w:hAnsi="Calibri"/>
          <w:sz w:val="22"/>
          <w:szCs w:val="22"/>
        </w:rPr>
        <w:t xml:space="preserve"> proposés (quinze sont fournis) ;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travaux pratiques</w:t>
      </w:r>
      <w:r>
        <w:rPr>
          <w:rFonts w:ascii="Calibri" w:cs="Calibri" w:eastAsia="Calibri" w:hAnsi="Calibri"/>
          <w:sz w:val="22"/>
          <w:szCs w:val="22"/>
        </w:rPr>
        <w:t xml:space="preserve"> comptent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 moins dix TP</w:t>
      </w:r>
      <w:r>
        <w:rPr>
          <w:rFonts w:ascii="Calibri" w:cs="Calibri" w:eastAsia="Calibri" w:hAnsi="Calibri"/>
          <w:sz w:val="22"/>
          <w:szCs w:val="22"/>
        </w:rPr>
        <w:t xml:space="preserve"> (douze sont fournis, dont un mini-projet de synthèse).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700"/>
        <w:gridCol w:w="1400"/>
        <w:gridCol w:w="3406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Poids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Modalité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Échéance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Résultats d'apprentissage évalués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Interrogation (QCM)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5 %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Individuelle, 30 min, 20 questions (semaines 1 à 4)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Début de la semaine 5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RA1, RA2, RA6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Examen de mi-parcours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Individuelle, écrit, 2 h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6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RA1, RA2, RA3, RA6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Examen de fin de parcours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Individuelle, écrit, 2 h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12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RA4, RA5, RA7, RA8 et notions transversales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Exposés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Groupe de 3 à 4 étudiants, 15 min + 5 min de questions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Semaines 9 à 11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RA7, RA8 (et RA3 à RA5 selon le sujet)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Travaux pratiques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Groupe de 3 à 4 étudiants (dont 12 TP, les 10 meilleures notes sont retenues)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Rendu une semaine après chaque séance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 à RA8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Présentation des travaux pratiques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Soutenance de groupe, 15 min + 5 min de questions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Dernière séance ou séance de soutenance dédiée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RA1 à RA8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Calendrier proposé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606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Semaine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Événement d'évaluation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Constitution des groupes (3 à 4 étudiants) ; publication de la liste des sujets d'exposés ; TP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S2 – S3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TP 2 et TP 3 ; choix des sujets d'exposés (premier arrivé, premier servi, un sujet par groupe)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TP 4 ; remise des plans d'exposé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Interrogation QCM (30 min) en début de séance ; TP 5 et TP 6 ; point d'avancement des exposés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S6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Examen de mi-parcours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S7 – S8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TP 7 et TP 8 ; remise des supports d'exposé pour relecture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S9 – S10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Exposés (premiers groupes) ; TP 9 et TP 10 ; lancement du mini-projet (TP 12)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S11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Exposés (derniers groupes) ; TP 11 ; discussion de synthèse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S12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Examen de fin de parcours ; soutenances des TP après l'épreuve ou en séance dédiée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Règles communes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Les évaluations de groupe sont accompagnées d'une fiche de contribution signée par chaque membre ; la note individuelle peut être ajustée de ± 2 points selon la contribution constatée.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Tout travail doit être reproductible : graine aléatoire fixée, versions des bibliothèques indiquées, code exécutable de bout en bout.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Le plagiat et l'usage non déclaré de contenus générés automatiquement sont sanctionnés conformément au règlement de l'établissement. L'usage d'outils d'assistance doit être mentionné dans le rapport.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Les retards de rendu sont pénalisés de 2 points par jour ouvré.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2. Interrogation : QCM (5 %)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 Modalités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Durée : 30 minutes, 20 questions portant sur les semaines 1 à 4.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Chaque question comporte quatre propositions et une seule réponse exacte.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Notation : 1 point par bonne réponse, 0 point par absence de réponse ou mauvaise réponse ; note sur 20, ramenée à 5 % de la note finale.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Pour limiter la communication entre étudiants, deux versions du sujet sont possibles : l'ordre des questions et des propositions est alors permuté ; le corrigé ci-dessous correspond à la version 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Répartition des questions : 5 sur la semaine 1, 6 sur la semaine 2, 4 sur la semaine 3 et 5 sur la semaine 4 (voir la colonne « Semaine » du corrigé).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 Sujet – version A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sz w:val="22"/>
          <w:szCs w:val="22"/>
        </w:rPr>
        <w:t xml:space="preserve">Quelle famille d'apprentissage utilise des données d'apprentissage étiquetées ?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L'apprentissage supervisé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L'apprentissage non supervisé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Le clustering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La réduction de dimensionnalité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sz w:val="22"/>
          <w:szCs w:val="22"/>
        </w:rPr>
        <w:t xml:space="preserve">Regrouper des clients en segments, sans catégories prédéfinies, est une tâche de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régression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clustering (apprentissage non supervisé)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classification binaire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classification multiclasse supervisée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sz w:val="22"/>
          <w:szCs w:val="22"/>
        </w:rPr>
        <w:t xml:space="preserve">Prédire le montant de la facture d'électricité d'un ménage est un problème de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classification binaire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clustering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régression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réduction de dimensionnalité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sz w:val="22"/>
          <w:szCs w:val="22"/>
        </w:rPr>
        <w:t xml:space="preserve">Dans le cycle de vie d'un projet de Machine Learning, quelle étape précède la modélisation ?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Le déploiement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Le suivi de la dérive des données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Le ré-entraînement en production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L'exploration et la préparation des données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sz w:val="22"/>
          <w:szCs w:val="22"/>
        </w:rPr>
        <w:t xml:space="preserve">Par rapport aux statistiques classiques, le Machine Learning privilégie surtout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la réalisation de tests d'hypothèses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la performance prédictive sur des données nouvelles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l'absence de toute donnée d'apprentissage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l'interprétation causale systématique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6. </w:t>
      </w:r>
      <w:r>
        <w:rPr>
          <w:rFonts w:ascii="Calibri" w:cs="Calibri" w:eastAsia="Calibri" w:hAnsi="Calibri"/>
          <w:sz w:val="22"/>
          <w:szCs w:val="22"/>
        </w:rPr>
        <w:t xml:space="preserve">La fuite de données (data leakage) se produit lorsque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des informations du jeu de test influencent l'apprentissage, par exemple une standardisation calculée avant la séparation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le modèle est trop simple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le jeu de données est trop petit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l'on utilise la validation croisée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7. </w:t>
      </w:r>
      <w:r>
        <w:rPr>
          <w:rFonts w:ascii="Calibri" w:cs="Calibri" w:eastAsia="Calibri" w:hAnsi="Calibri"/>
          <w:sz w:val="22"/>
          <w:szCs w:val="22"/>
        </w:rPr>
        <w:t xml:space="preserve">Pour une variable catégorielle nominale sans ordre (région d'habitation), l'encodage le plus adapté est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un encodage ordinal 1, 2, 3, …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la standardisation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la normalisation min-max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le one-hot encoding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8. </w:t>
      </w:r>
      <w:r>
        <w:rPr>
          <w:rFonts w:ascii="Calibri" w:cs="Calibri" w:eastAsia="Calibri" w:hAnsi="Calibri"/>
          <w:sz w:val="22"/>
          <w:szCs w:val="22"/>
        </w:rPr>
        <w:t xml:space="preserve">La standardisation d'une variable numérique consiste à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ramener toutes les valeurs entre 0 et 1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supprimer les valeurs aberrantes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soustraire la moyenne et diviser par l'écart-type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remplacer les valeurs manquantes par la médiane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9. </w:t>
      </w:r>
      <w:r>
        <w:rPr>
          <w:rFonts w:ascii="Calibri" w:cs="Calibri" w:eastAsia="Calibri" w:hAnsi="Calibri"/>
          <w:sz w:val="22"/>
          <w:szCs w:val="22"/>
        </w:rPr>
        <w:t xml:space="preserve">La mise à l'échelle des variables est particulièrement indispensable pour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aucun algorithme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les algorithmes fondés sur des distances ou sur la descente de gradient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uniquement les arbres de décision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uniquement les variables catégorielles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10. </w:t>
      </w:r>
      <w:r>
        <w:rPr>
          <w:rFonts w:ascii="Calibri" w:cs="Calibri" w:eastAsia="Calibri" w:hAnsi="Calibri"/>
          <w:sz w:val="22"/>
          <w:szCs w:val="22"/>
        </w:rPr>
        <w:t xml:space="preserve">Dans la descente de gradient, un taux d'apprentissage η trop grand peut provoquer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une divergence de l'algorithme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une convergence plus rapide garantie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un modèle sans biais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une réduction automatique de la variance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11. </w:t>
      </w:r>
      <w:r>
        <w:rPr>
          <w:rFonts w:ascii="Calibri" w:cs="Calibri" w:eastAsia="Calibri" w:hAnsi="Calibri"/>
          <w:sz w:val="22"/>
          <w:szCs w:val="22"/>
        </w:rPr>
        <w:t xml:space="preserve">Une p-value de 0,02 avec un seuil α = 0,05 conduit à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ne pas rejeter l'hypothèse nulle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accepter l'hypothèse nulle comme vraie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rejeter l'hypothèse nulle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conclure que l'effet est important en pratique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12. </w:t>
      </w:r>
      <w:r>
        <w:rPr>
          <w:rFonts w:ascii="Calibri" w:cs="Calibri" w:eastAsia="Calibri" w:hAnsi="Calibri"/>
          <w:sz w:val="22"/>
          <w:szCs w:val="22"/>
        </w:rPr>
        <w:t xml:space="preserve">En régression linéaire simple, un coefficient β̂₁ = 0,9 signifie que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y vaut 0,9 lorsque x est nul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x explique 90 % de la variance de y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l'erreur moyenne du modèle vaut 0,9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quand x augmente d'une unité, y augmente en moyenne de 0,9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13. </w:t>
      </w:r>
      <w:r>
        <w:rPr>
          <w:rFonts w:ascii="Calibri" w:cs="Calibri" w:eastAsia="Calibri" w:hAnsi="Calibri"/>
          <w:sz w:val="22"/>
          <w:szCs w:val="22"/>
        </w:rPr>
        <w:t xml:space="preserve">Le coefficient de détermination R² mesure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la part de la variance de y expliquée par le modèle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l'erreur moyenne dans l'unité de y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la probabilité que l'hypothèse nulle soit vraie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le nombre de variables utiles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14. </w:t>
      </w:r>
      <w:r>
        <w:rPr>
          <w:rFonts w:ascii="Calibri" w:cs="Calibri" w:eastAsia="Calibri" w:hAnsi="Calibri"/>
          <w:sz w:val="22"/>
          <w:szCs w:val="22"/>
        </w:rPr>
        <w:t xml:space="preserve">Le RMSE est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la moyenne des erreurs signées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la racine carrée de l'erreur quadratique moyenne, exprimée dans l'unité de la cible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un score toujours compris entre 0 et 1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la variance des résidus normalisée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15. </w:t>
      </w:r>
      <w:r>
        <w:rPr>
          <w:rFonts w:ascii="Calibri" w:cs="Calibri" w:eastAsia="Calibri" w:hAnsi="Calibri"/>
          <w:sz w:val="22"/>
          <w:szCs w:val="22"/>
        </w:rPr>
        <w:t xml:space="preserve">Un modèle présentant une erreur d'apprentissage très faible et une erreur de test élevée est en situation de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sous-apprentissage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biais élevé et variance faible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bon compromis biais-variance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sur-apprentissage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16. </w:t>
      </w:r>
      <w:r>
        <w:rPr>
          <w:rFonts w:ascii="Calibri" w:cs="Calibri" w:eastAsia="Calibri" w:hAnsi="Calibri"/>
          <w:sz w:val="22"/>
          <w:szCs w:val="22"/>
        </w:rPr>
        <w:t xml:space="preserve">Une forte multicolinéarité entre variables explicatives entraîne principalement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une erreur de test nulle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des résidus parfaitement normaux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des coefficients instables, de grande amplitude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un R² négatif à l'apprentissage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17. </w:t>
      </w:r>
      <w:r>
        <w:rPr>
          <w:rFonts w:ascii="Calibri" w:cs="Calibri" w:eastAsia="Calibri" w:hAnsi="Calibri"/>
          <w:sz w:val="22"/>
          <w:szCs w:val="22"/>
        </w:rPr>
        <w:t xml:space="preserve">La pénalité Lasso (L1) se distingue par sa propriété de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annuler exactement certains coefficients (sélection de variables)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rendre tous les coefficients égaux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augmenter systématiquement la variance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supprimer le besoin de standardiser les variables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18. </w:t>
      </w:r>
      <w:r>
        <w:rPr>
          <w:rFonts w:ascii="Calibri" w:cs="Calibri" w:eastAsia="Calibri" w:hAnsi="Calibri"/>
          <w:sz w:val="22"/>
          <w:szCs w:val="22"/>
        </w:rPr>
        <w:t xml:space="preserve">La régularisation Ridge (L2)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sélectionne toujours une seule variable dans un groupe corrélé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rétrécit les coefficients sans les annuler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n'a aucun hyperparamètre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est strictement identique aux moindres carrés ordinaires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19. </w:t>
      </w:r>
      <w:r>
        <w:rPr>
          <w:rFonts w:ascii="Calibri" w:cs="Calibri" w:eastAsia="Calibri" w:hAnsi="Calibri"/>
          <w:sz w:val="22"/>
          <w:szCs w:val="22"/>
        </w:rPr>
        <w:t xml:space="preserve">Lorsque α augmente dans une régression Ridge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le biais diminue et la variance augmente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le modèle devient plus flexible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les coefficients augmentent en valeur absolue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les coefficients se rapprochent de zéro, le biais augmente et la variance diminue</w:t>
      </w:r>
    </w:p>
    <w:p>
      <w:pPr>
        <w:keepNext/>
        <w:keepLines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Question 20. </w:t>
      </w:r>
      <w:r>
        <w:rPr>
          <w:rFonts w:ascii="Calibri" w:cs="Calibri" w:eastAsia="Calibri" w:hAnsi="Calibri"/>
          <w:sz w:val="22"/>
          <w:szCs w:val="22"/>
        </w:rPr>
        <w:t xml:space="preserve">Pour choisir l'hyperparamètre α d'une régression régularisée, on utilise de préférence :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A.  le R² mesuré sur le jeu d'apprentissage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B.  le jeu de test, évalué pour chaque valeur d'α</w:t>
      </w:r>
    </w:p>
    <w:p>
      <w:pPr>
        <w:keepNext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C.  la validation croisée sur le jeu d'apprentissage</w:t>
      </w:r>
    </w:p>
    <w:p>
      <w:pPr>
        <w:keepNext w:val="false"/>
        <w:keepLines/>
        <w:spacing w:after="20"/>
        <w:ind w:left="500"/>
      </w:pPr>
      <w:r>
        <w:rPr>
          <w:rFonts w:ascii="Calibri" w:cs="Calibri" w:eastAsia="Calibri" w:hAnsi="Calibri"/>
          <w:sz w:val="21"/>
          <w:szCs w:val="21"/>
        </w:rPr>
        <w:t xml:space="preserve">D.  la valeur 1 par défaut, sans la discuter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2.3 Corrigé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100"/>
        <w:gridCol w:w="7106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Semaine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apprentissage supervisé, chaque observation est associée à la valeur à prédire.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Aucune étiquette n'existe : on cherche une structure dans les données.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cible est numérique et continue.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cycle va de la collecte et de la préparation vers la modélisation, l'évaluation puis le déploiement.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statistiques visent surtout l'inférence ; le ML vise la prédiction sur données non vues.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paramètres de prétraitement doivent être estimés sur l'apprentissage seul, par exemple dans un Pipeline.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encodage ordinal imposerait un ordre artificiel entre les régions.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 = (x − μ) / σ ; la normalisation min-max est une transformation différente.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Une variable de grande échelle domine les distances et ralentit la descente de gradient.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pas deviennent trop larges et dépassent le minimum.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 &lt; α : on rejette H₀ ; la p-value ne mesure pas l'importance pratique de l'effet.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β̂₁ est la pente : variation moyenne de y par unité de x.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R² = 1 − RSS/TSS.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RMSE = √MSE ; il se lit comme une erreur typique.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Il mémorise le bruit de l'apprentissage et généralise mal.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XᵀX devient presque singulière : les estimations varient fortement d'un échantillon à l'autre.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pénalité L1 produit des solutions parcimonieuses.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Ridge répartit le poids entre variables corrélées et ne fait pas de sélection.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Plus la pénalité est forte, plus le modèle est contraint.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7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jeu de test doit rester intact pour l'évaluation finale.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3. Examen de mi-parcours (10 %)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 Modalités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Durée : 2 heures ; épreuve écrite individuelle ; calculatrice autorisée, documents non autorisés.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Contenus : semaines 1 à 5 (cycle de vie, rappels statistiques et préparation des données, régression, régularisation, arbres de décision, k-NN, métriques et validation).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Total : 20 points. Le sujet ci-dessous sert aussi d'examen blanc, à traiter en conditions réelles avant l'épreuve.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 Sujet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1 – Questions de cours (4 points)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(2 pts) Définir le sur-apprentissage, indiquer comment le détecter et citer deux remèdes.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Distinguer régression et classification et donner un exemple de chacune.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Pourquoi doit-on calculer les paramètres de standardisation sur le jeu d'apprentissage uniquement ?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2 – Régression linéaire simple (5 points)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 observe quatre couples (x, y) : (1 ; 1), (2 ; 3), (3 ; 4), (4 ; 6).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(2 pts) Calculer les coefficients β̂₁ et β̂₀ de la droite des moindres carrés.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(0,5 pt) Prédire y pour x = 5.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(1,5 pt) Calculer la somme des carrés des résidus (RSS), la MSE et la RMSE sur ces quatre points.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Calculer le coefficient de détermination R² et l'interpréter.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3 – Régularisation (4 points)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modèle prédit le prix de vente d'un logement à partir de quatre variables standardisées x₁ à x₄ (x₁ et x₂ sont très corrélées). Les coefficients estimés sont 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700"/>
        <w:gridCol w:w="2006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x₁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x₂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x₃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x₄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Moindres carrés ordinaires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−4,8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0,3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Ridge (α = 10)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−1,9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0,4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Lasso (α = 0,5)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−2,2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0,8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Quel phénomène suggère le couple de coefficients de x₁ et x₂ dans les moindres carrés ordinaires ? Justifier.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Quelle méthode a effectué une sélection de variables ? Quelle variable a été éliminée 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Comment choisir la valeur de α de façon rigoureuse 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Quelle méthode recommander ici et pourquoi ?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4 – Classification (5 points)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a) Un nœud d'un arbre de décision contient 20 observations : 12 de classe A et 8 de classe B. Un découpage produit un enfant gauche de 10 observations (9 A, 1 B) et un enfant droit de 10 observations (3 A, 7 B).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(2,5 pts) Calculer l'indice de Gini du nœud, de chaque enfant, l'indice pondéré après découpage et le gain.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b) Un classifieur de détection de maladie est évalué sur 100 patients. La matrice de confusion est : VP = 40, FN = 10, FP = 5, VN = 45.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(2,5 pts) Calculer l'exactitude, la précision, le rappel et le F1-score. Quelle métrique privilégier pour un dépistage et pourquoi ?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5 – Lecture de code (2 points)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scaler = StandardScaler().fit(X)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X_std = scaler.transform(X)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Xtr, Xte, ytr, yte = train_test_split(X_std, y, test_size=0.2)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model = KNeighborsClassifier(5).fit(Xtr, ytr)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print(model.score(Xte, yte))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Identifier l'erreur méthodologique.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Proposer une correction.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3.3 Corrigé et barème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1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Sur-apprentissage : le modèle épouse le bruit de l'apprentissage ; erreur d'apprentissage très faible, erreur de test nettement plus élevée (courbes d'apprentissage ou validation croisée). Remèdes : plus de données, régularisation, modèle plus simple, arrêt précoce, élagage (1 pt pour la définition et la détection, 0,5 pt par remède).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Régression : cible numérique continue (prix) ; classification : cible catégorielle (spam ou non) (1 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Pour éviter la fuite de données : les statistiques du test ne doivent pas influencer l'apprentissage ; le jeu de test simule des données jamais vues (1 pt).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2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x̄ = 2,5 ; ȳ = 3,5 ; Σ(x − x̄)(y − ȳ) = 8 ; Σ(x − x̄)² = 5 ; β̂₁ = 1,6 ; β̂₀ = 3,5 − 1,6 × 2,5 = −0,5 (1 pt par coefficient).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ŷ(5) = −0,5 + 1,6 × 5 = 7,5 (0,5 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Valeurs ajustées : 1,1 ; 2,7 ; 4,3 ; 5,9 ; résidus : −0,1 ; 0,3 ; −0,3 ; 0,1 ; RSS = 0,2 ; MSE = 0,05 ; RMSE ≈ 0,224 (0,5 pt par grandeur).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TSS = 13 ; R² = 1 − 0,2/13 ≈ 0,985 : le modèle explique environ 98,5 % de la variance de y sur ces données (0,5 pt calcul, 0,5 pt interprétation).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3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Multicolinéarité : deux variables corrélées avec des coefficients de grande amplitude et de signes opposés (5,2 et −4,8) qui se compensent ; estimation instable (1 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Le Lasso a annulé x₃, la pénalité L1 réalisant la sélection ; Ridge rétrécit sans annuler (1 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Par validation croisée sur le jeu d'apprentissage (RidgeCV, LassoCV), le jeu de test restant réservé à l'évaluation finale (1 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Elastic Net ou Ridge si l'on souhaite conserver les deux variables corrélées ; Lasso si la parcimonie prime. Toute recommandation argumentée est acceptée (1 pt).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4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Gini(nœud) = 1 − (0,6² + 0,4²) = 0,48 ; Gini(gauche) = 1 − (0,9² + 0,1²) = 0,18 ; Gini(droite) = 1 − (0,3² + 0,7²) = 0,42 ; Gini pondéré = 0,5 × 0,18 + 0,5 × 0,42 = 0,30 ; gain = 0,48 − 0,30 = 0,18 (0,5 pt par grandeur).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Exactitude = 85/100 = 0,85 ; précision = 40/45 ≈ 0,889 ; rappel = 40/50 = 0,80 ; F1 = 2 × 40 / (2 × 40 + 5 + 10) = 80/95 ≈ 0,842 (0,5 pt par métrique). Pour un dépistage, privilégier le rappel afin de limiter les faux négatifs (0,5 pt).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5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Le scaler est ajusté sur toutes les données avant la séparation : fuite de données (1 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Séparer d'abord, ajuster le scaler sur Xtr, transformer Xte avec ce scaler ; ou utiliser make_pipeline(StandardScaler(), KNeighborsClassifier(5)) (1 pt).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4. Examen de fin de parcours (15 %)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4.1 Modalités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Durée : 2 heures ; épreuve écrite individuelle ; calculatrice autorisée, documents non autorisés.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Contenus : semaines 7 à 11 (SVM, réduction de dimensionnalité, clustering, méthodes d'ensemble, applications récentes, éthique et interprétabilité) et notions transversales.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Total : 20 points, cinq exercices de 4 points. Le sujet sert aussi d'examen blanc.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4.2 Sujet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1 – Machines à vecteurs de support (4 points)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Expliquer le rôle du paramètre C.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(1,5 pt) Expliquer l'intérêt du noyau RBF et l'effet d'une valeur élevée de γ.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(1,5 pt) On classe 5 000 documents décrits par 20 000 variables (fréquences de mots). Quel noyau choisir et pourquoi ?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2 – Analyse en composantes principales (4 points)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Sur six variables standardisées, les valeurs propres de la matrice de corrélation sont : 4,0 ; 2,0 ; 1,0 ; 0,5 ; 0,3 ; 0,2.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(2,5 pts) Calculer la part de variance expliquée par chaque composante, la variance cumulée, et déterminer le nombre de composantes à retenir pour conserver au moins 90 % de la variance.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(1,5 pt) Comparer l'ACP et le t-SNE (nature, usage, limites).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3 – Clustering (4 points)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a) Six points en dimension 1 : 1, 2, 3, 10, 11, 12. On exécute K-means avec K = 2 et les centres initiaux c₁ = 1 et c₂ = 10.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(2 pts) Effectuer les itérations jusqu'à convergence et calculer l'inertie finale.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b) Sept points en dimension 1 : 1 ; 1,5 ; 2 ; 2,5 ; 3 ; 3,9 ; 8. On applique DBSCAN avec ε = 1 et min_samples = 3 (le point lui-même est compté).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(2 pts) Classer chaque point en point cœur, point frontière ou bruit, et donner le nombre de groupes.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4 – Méthodes d'ensemble (4 points)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 modèles de même variance σ² = 1 et de corrélation moyenne ρ ont pour moyenne une variance ρσ² + (1 − ρ)σ²/B.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(1,5 pt) Calculer cette variance pour B = 100 avec ρ = 0,3, puis avec ρ = 0. Interpréter.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(1,5 pt) Comparer le bagging et le boosting (principe, effet sur biais et variance, risques).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Pourquoi les prédictions des modèles de base doivent-elles être obtenues par validation croisée dans un stacking ?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5 – Éthique et interprétabilité (4 points)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Une banque utilise un modèle d'octroi de crédit. Le taux d'acceptation est de 60 % pour le groupe A et de 35 % pour le groupe B.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(1,5 pt) Calculer le rapport des taux d'acceptation B/A et indiquer quelle définition d'équité est mise en cause.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(1,5 pt) Citer trois sources possibles de biais dans cette situation.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(1 pt) Proposer deux mesures d'atténuation et expliquer comment SHAP ou LIME peut aider à l'audit.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4.3 Corrigé et barème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1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C règle le compromis entre largeur de la marge et violations tolérées : C grand, marge étroite et risque de sur-apprentissage ; C petit, marge large et modèle plus régularisé (1 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Le noyau RBF permet des frontières non linéaires sans projection explicite ; γ élevé donne une influence très locale de chaque point, des frontières très irrégulières et un risque de sur-apprentissage (0,75 pt + 0,75 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Noyau linéaire : en très grande dimension avec peu d'observations, les données sont déjà presque séparables linéairement ; le modèle est plus rapide et moins sujet au sur-apprentissage (1,5 pt).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2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Parts de variance : 50 % ; 25 % ; 12,5 % ; 6,25 % ; 3,75 % ; 2,5 %. Cumul : 50 % ; 75 % ; 87,5 % ; 93,75 % ; 97,5 % ; 100 %. Il faut 4 composantes (3 donnent 87,5 %, insuffisant) (1,5 pt pour les calculs, 1 pt pour la conclusion).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ACP : linéaire, rapide, conserve la variance globale, applicable à de nouvelles données, composantes interprétables via les saturations. t-SNE : non linéaire, centré sur la structure locale, réservé à la visualisation, non déterministe, distances entre amas non interprétables (1,5 pt).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3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Itération 1 : 1, 2, 3 affectés à c₁ (distances 0, 1, 2 contre 9, 8, 7) ; 10, 11, 12 affectés à c₂. Nouveaux centres : c₁ = 2 et c₂ = 11. Itération 2 : mêmes affectations, convergence. Inertie = (1 + 0 + 1) + (1 + 0 + 1) = 4 (1,5 pt pour la démarche, 0,5 pt pour l'inertie).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Points cœurs : 1 (voisins 1 ; 1,5 ; 2), 1,5, 2, 2,5, 3 (voisins 2 ; 2,5 ; 3 ; 3,9). Point frontière : 3,9 (seulement 2 points dans son voisinage, dont le cœur 3). Bruit : 8. Un seul groupe de six points et un point de bruit (1,5 pt pour les types de points, 0,5 pt pour le nombre de groupes).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4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ρ = 0,3 : 0,3 + 0,7/100 = 0,307 ; ρ = 0 : 0,01. La variance ne peut pas descendre sous ρσ² : augmenter B ne suffit pas si les modèles sont corrélés ; d'où l'intérêt de la diversité (forêts aléatoires) (1,5 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Bagging : modèles indépendants sur échantillons bootstrap, vote ou moyenne, réduit surtout la variance. Boosting : modèles séquentiels corrigeant les erreurs précédentes, réduit surtout le biais, sensible au bruit et au sur-apprentissage (1,5 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Pour que le méta-modèle apprenne sur des prédictions faites hors échantillon ; sinon fuite d'information et sur-apprentissage du méta-modèle (1 pt).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Exercice 5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35/60 ≈ 0,58 : la parité démographique est mise en cause (seuil usuel de 0,8 pour la règle des quatre cinquièmes) (1,5 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Exemples : biais historique des décisions de crédit passées, sous-représentation d'un groupe, variables proxy (quartier, profession), mesure biaisée de la solvabilité (0,5 pt par source, 1,5 pt maximum).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Atténuation : audit et rééquilibrage des données, contraintes d'équité, seuils par groupe, contrôle humain, documentation. SHAP ou LIME montrent quelles variables pèsent sur chaque décision et révèlent l'usage de proxys (1 pt).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5. Exposés en petit groupe (20 %)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 Modalités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Groupes de 3 à 4 étudiants ; un sujet par groupe, attribué dans l'ordre d'inscription ; quinze sujets proposés, soit de quoi former quinze groupes distincts.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Durée : 15 minutes d'exposé et 5 minutes de questions ; tous les membres du groupe prennent la parole.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Livrables : support de présentation (10 à 12 diapositives) et résumé écrit de deux pages, remis 48 heures avant la séance.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Grille d'analyse imposée : problème posé, données, méthode, protocole d'évaluation, résultats, limites, lien avec les notions du cours, enjeux éthiques.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Les articles cités sont des références classiques de chaque domaine ; l'enseignant peut les remplacer par des publications plus récentes.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 Liste des sujets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500"/>
        <w:gridCol w:w="3500"/>
        <w:gridCol w:w="2106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Sujet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Domaine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Problématique et contenu attendu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Référence suggérée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Conduite autonome de bout en bout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Navigation autonome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Comment un réseau de neurones apprend à produire une commande de direction à partir d'images ? Données, architecture, évaluation, limites de sécurité.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Bojarski et al. (2016). End to End Learning for Self-Driving Cars. NVIDIA.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Apprentissage par renforcement et décision séquentielle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Navigation autonome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Principe de l'agent, de la récompense et de la politique ; exemple d'agents jouant à des jeux vidéo ; transposition à la navigation.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Mnih et al. (2015). Human-level control through deep reinforcement learning. Nature.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Détection du cancer de la peau par imagerie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Informatique biomédicale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Classification d'images dermatologiques : jeux de données, protocole de comparaison avec des experts, métriques (sensibilité, spécificité, AUC), risques cliniques.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Esteva et al. (2017). Dermatologist-level classification of skin cancer with deep neural networks. Nature.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Dépistage de la rétinopathie diabétique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Informatique biomédicale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Détection automatique à partir de photographies du fond d'œil : constitution des données, validation externe, intérêt en contexte à ressources limitées.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Gulshan et al. (2016). Development and Validation of a Deep Learning Algorithm for Detection of Diabetic Retinopathy. JAMA.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Reconnaissance faciale par plongements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Biométrie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Représentation d'un visage par un vecteur ; notion de distance et de seuil de décision ; liens avec k-NN et le clustering.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Schroff, Kalenichenko, Philbin (2015). FaceNet: A Unified Embedding for Face Recognition and Clustering. CVPR.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Biais dans la reconnaissance faciale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Biométrie et éthique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Écarts de performance selon le genre et la couleur de peau ; sources de biais ; mesures d'équité ; pistes d'atténuation.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Buolamwini &amp; Gebru (2018). Gender Shades: Intersectional Accuracy Disparities in Commercial Gender Classification. FAT*.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Représentations de textes par les transformeurs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Analyse de textes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 la représentation par sac de mots aux modèles contextuels ; tâches de classification de textes ; coût de calcul ; langues peu dotées.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Devlin et al. (2019). BERT: Pre-training of Deep Bidirectional Transformers for Language Understanding. NAACL.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Systèmes de recommandation par factorisation matricielle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Analyse du web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Prédire les préférences des utilisateurs à partir de matrices éparses ; lien avec l'ACP et la réduction de dimensionnalité ; évaluation hors ligne.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Koren, Bell, Volinsky (2009). Matrix Factorization Techniques for Recommender Systems. IEEE Computer.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Détection de fraude sur cartes bancaires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Décision automatisée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Données très déséquilibrées, rééchantillonnage, choix des métriques (précision, rappel, AUC), contraintes de temps réel.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Dal Pozzolo et al. (2018). Credit Card Fraud Detection: A Realistic Modeling and a Novel Learning Strategy. IEEE TNNLS.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Maintenance prédictive industrielle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Maintenance prédictive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Prédire une panne à partir de données de capteurs ; méthodes d'ensemble ; coût des faux négatifs ; mise en production.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Susto et al. (2015). Machine Learning for Predictive Maintenance: A Multiple Classifier Approach. IEEE Trans. Industrial Informatics.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Expliquer un modèle : LIME contre SHAP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Interprétabilité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Principe de chaque méthode, avantages et limites, démonstration sur un modèle de forêt aléatoire, discussion de la fiabilité des explications.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Ribeiro, Singh, Guestrin (2016). « Why Should I Trust You? ». KDD ; Lundberg &amp; Lee (2017). A Unified Approach to Interpreting Model Predictions. NeurIPS.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 biais racial dans un algorithme de santé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Éthique et santé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Cas d'un algorithme utilisant les dépenses de santé comme indicateur du besoin de soins : mécanisme du biais de mesure et correction proposée.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Obermeyer et al. (2019). Dissecting racial bias in an algorithm used to manage the health of populations. Science.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Forêts aléatoires et boosting : comparaison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Méthodes d'ensemble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Fonctionnement, hyperparamètres, importance des variables, comparaison des performances et du coût de calcul sur un jeu de données au choix.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Breiman (2001). Random Forests. Machine Learning ; Chen &amp; Guestrin (2016). XGBoost. KDD.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Visualiser des données de cellules individuelles avec UMAP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Informatique biomédicale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Application de la réduction de dimensionnalité à la génomique ; comparaison t-SNE et UMAP ; précautions d'interprétation des amas.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Becht et al. (2019). Dimensionality reduction for visualizing single-cell data using UMAP. Nature Biotechnology.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Détection de maladies des plantes par images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Agriculture et vision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Classification d'images de feuilles pour l'aide aux agriculteurs ; transfert à des conditions réelles ; limites de généralisation.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Mohanty, Hughes, Salathé (2016). Using Deep Learning for Image-Based Plant Disease Detection. Frontiers in Plant Science.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5.3 Grille de notation (20 points)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906"/>
      </w:tblGrid>
      <w:tr>
        <w:trPr>
          <w:cantSplit/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Compréhension et exactitude scientifique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Problème, méthode et résultats correctement présentés ; notions du cours mobilisées à bon escient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Analyse critique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Limites, biais, conditions de validité, comparaison avec d'autres approches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Lien avec le cours et enjeux éthiques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Algorithmes du cours reconnus et situés ; discussion des risques et de l'équité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Clarté, structure et supports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logique, diapositives lisibles, respect du temps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Réponses aux questions et participation du groupe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Précision des réponses ; répartition équilibrée de la parole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6. Travaux pratiques (20 %)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 Modalités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Douze TP, un par séance environ ; travail en groupe de 3 à 4 étudiants ; dix meilleures notes retenues pour 20 % de la note finale.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Chaque TP commence en séance (90 minutes encadrées) et se termine en travail personnel ; rendu sous forme de carnet Jupyter exécutable, une semaine après la séance.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Environnement : Python 3, Jupyter, NumPy, pandas, matplotlib, scikit-learn. Les jeux « scikit-learn » sont disponibles hors ligne ; les jeux OpenML ou Kaggle nécessitent une connexion ; en son absence, l'enseignant fournit des fichiers CSV.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La colonne « Résultats attendus » du récapitulatif sert de repère de correction pour l'enseignant.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6.2 Récapitulatif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900"/>
        <w:gridCol w:w="1100"/>
        <w:gridCol w:w="4106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Titre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Semaine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Jeu de données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Prise en main de l'environnement et premier modèle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Iris et Wine (scikit-learn, hors ligne)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Analyse exploratoire et prétraitement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RA1, RA6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Titanic (OpenML ou Kaggle)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Régression linéaire et diagnostic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RA2, RA6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Diabetes (scikit-learn) ; en option California Housing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Régularisation : Ridge, Lasso, Elastic Net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RA2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Données synthétiques avec variables corrélées (make_regression + colonnes dupliquées bruitées) et Diabetes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Arbres de décision et k-NN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Breast Cancer Wisconsin (scikit-learn)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Évaluation, validation croisée et classes déséquilibrées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S5-S6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RA3, RA6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make_classification avec 5 % de positifs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Machines à vecteurs de support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RA3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make_moons, make_circles et Digits (scikit-learn)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Réduction de dimensionnalité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RA4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Digits (scikit-learn) ; en option Fashion-MNIST (échantillon, OpenML)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Segmentation de clientèle par clustering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RA4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Mall Customers (Kaggle) ou jeu de transactions agrégé en variables RFM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Méthodes d'ensemble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RA5, RA6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Adult Income (OpenML) ou Breast Cancer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Interprétabilité et audit d'équité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RA8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Adult Income (OpenML)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Mini-projet de synthèse de bout en bout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S9-S12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RA1 à RA8</w:t>
            </w:r>
          </w:p>
        </w:tc>
        <w:tc>
          <w:tcPr>
            <w:tcW w:type="dxa" w:w="4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Jeu de données choisi par le groupe (agriculture, santé, finance, énergie, éducation), validé par l'enseignant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6.3 Grille de notation d'un TP (20 points)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906"/>
      </w:tblGrid>
      <w:tr>
        <w:trPr>
          <w:cantSplit/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Cadrage et compréhension du problème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Objectif, cible, métrique clairement énoncés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Qualité et reproductibilité du code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exécutable de bout en bout, graine fixée, pipeline, code lisible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Rigueur méthodologique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Séparation apprentissage/test, validation croisée, absence de fuite de données, choix justifié des métriques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Analyse et interprétation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commentés, comparaison de modèles, limites discutées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Présentation du carnet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Structure, graphiques annotés, conclusion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6.4 Fiches détaillées des TP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1 – Prise en main de l'environnement et premier modèle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 / RA1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Iris et Wine (scikit-learn, hors ligne)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Installer Python, Jupyter, scikit-learn et vérifier les versions.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Charger le jeu, décrire sa structure (variables, cible, classes).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Séparer apprentissage et test (stratifié, graine fixée).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Entraîner un k-NN et un arbre de décision, mesurer l'exactitude.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Faire varier k de 1 à 20 et tracer l'exactitude de test.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Jupyter commenté.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Exactitude supérieure à 0,9 sur Iris ; discussion de l'effet de k.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2 – Analyse exploratoire et prétraitement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S2 / RA1, RA6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Titanic (OpenML ou Kaggle)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Dresser le profil des données : types, valeurs manquantes, doublons, distributions.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Visualiser la cible et ses relations avec trois variables.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Imputer les valeurs manquantes (médiane, mode) et comparer à une imputation par k-NN.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Encoder les variables catégorielles et standardiser les variables numériques.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Assembler le tout dans un ColumnTransformer et un Pipeline ; démontrer l'absence de fuite de données.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avec pipeline réutilisable et trois graphiques commentés.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 ajusté sur l'apprentissage seul ; explication écrite du risque de fuite.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3 – Régression linéaire et diagnostic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S3 / RA2, RA6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Diabetes (scikit-learn) ; en option California Housing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Ajuster une régression simple puis multiple ; interpréter les coefficients.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Calculer MSE, RMSE, MAE et R² sur le jeu de test.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Tracer résidus et valeurs prédites ; vérifier les hypothèses du modèle.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Ajouter des termes polynomiaux de degré 1 à 5 et tracer les courbes d'erreur d'apprentissage et de test.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Identifier le degré de sur-apprentissage.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et note d'une page sur l'interprétation.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Mise en évidence d'un R² de test qui se dégrade au-delà d'un certain degré.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4 – Régularisation : Ridge, Lasso, Elastic Net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S4 / RA2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Données synthétiques avec variables corrélées (make_regression + colonnes dupliquées bruitées) et Diabetes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Mettre en évidence l'instabilité des coefficients des moindres carrés sous multicolinéarité (VIF, rééchantillonnage).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Ajuster Ridge, Lasso et Elastic Net avec standardisation.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Choisir α par validation croisée (RidgeCV, LassoCV, ElasticNetCV).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Tracer le chemin de régularisation et compter les coefficients nuls.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Comparer les trois méthodes par R² en validation croisée et justifier le choix.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et tableau comparatif.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Lasso annule plusieurs coefficients ; Ridge stabilise les coefficients corrélés.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5 – Arbres de décision et k-NN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S5 / RA3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Breast Cancer Wisconsin (scikit-learn)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Entraîner un arbre sans contrainte et constater le sur-apprentissage.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Régler max_depth et min_samples_leaf par recherche sur grille.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Visualiser l'arbre retenu et traduire trois règles en langage clair.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Régler k pour un k-NN avec standardisation.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Comparer matrices de confusion, précision, rappel et F1.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et tableau des métriques.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Arbre optimisé de profondeur modérée ; k-NN avec exactitude supérieure à 0,95.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6 – Évaluation, validation croisée et classes déséquilibrées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S5-S6 / RA3, RA6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make_classification avec 5 % de positifs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Montrer qu'un modèle trivial obtient une exactitude élevée.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Comparer exactitude, précision, rappel, F1 et AUC-ROC.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Mettre en œuvre la validation croisée stratifiée.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Tracer courbes ROC et précision-rappel.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Ajuster le seuil de décision selon un coût d'erreur donné, et tester class_weight.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et courte note de recommandation.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Justification du choix de la métrique ; amélioration du rappel documentée.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7 – Machines à vecteurs de support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S7 / RA3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make_moons, make_circles et Digits (scikit-learn)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Comparer noyaux linéaire, polynomial et RBF sur les jeux synthétiques.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Visualiser frontières de décision et vecteurs de support.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Régler C et γ par recherche sur grille avec validation croisée.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Évaluer le SVM sur Digits en multiclasse.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Comparer SVM, arbre et k-NN.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avec figures des frontières.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Noyau RBF supérieur au noyau linéaire sur les données non linéaires.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8 – Réduction de dimensionnalité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S8 / RA4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Digits (scikit-learn) ; en option Fashion-MNIST (échantillon, OpenML)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Réaliser l'ACP, tracer l'éboulis et choisir le nombre de composantes pour 90 % de variance.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Projeter en 2D par ACP, t-SNE et UMAP.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Colorer les projections par classe et commenter les séparations.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Étudier l'effet de la perplexité (t-SNE) et de n_neighbors (UMAP).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Évaluer un classifieur entraîné sur les composantes principales.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avec trois projections comparées.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Environ 30 composantes pour 90 % de variance sur Digits ; t-SNE sépare mieux les classes.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9 – Segmentation de clientèle par clustering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S9 / RA4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Mall Customers (Kaggle) ou jeu de transactions agrégé en variables RFM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Préparer et standardiser les variables.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Appliquer K-means, choisir K par coude et silhouette.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Appliquer DBSCAN (choix d'ε par graphique des k-distances) et un clustering hiérarchique (dendrogramme).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Comparer les partitions (silhouette, indice de Rand ajusté).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Décrire et nommer chaque segment pour un usage marketing.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et fiche descriptive des segments.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Choix de K argumenté ; segments interprétables.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10 – Méthodes d'ensemble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S10 / RA5, RA6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Adult Income (OpenML) ou Breast Cancer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Entraîner arbre, forêt aléatoire, AdaBoost, Gradient Boosting et HistGradientBoosting.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Calculer l'erreur out-of-bag et l'importance des variables de la forêt.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Régler les principaux hyperparamètres (n_estimators, learning_rate, max_depth).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Construire un modèle d'empilement.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Comparer les modèles par validation croisée répétée et discuter la significativité des écarts.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et tableau de comparaison.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 moins un ensemble supérieur à l'arbre seul ; analyse du coût de calcul.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11 – Interprétabilité et audit d'équité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S11 / RA8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Adult Income (OpenML)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Entraîner un modèle de classification du revenu.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Calculer les taux de décision positive et de vrais positifs par groupe (sexe, âge).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Mesurer parité démographique et égalité des chances.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Expliquer le modèle par importance par permutation, puis par SHAP ou LIME si disponibles.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Proposer et tester une mesure d'atténuation (rééquilibrage, seuils par groupe) et en discuter les limites.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Carnet et rapport de deux pages.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Écarts entre groupes quantifiés ; atténuation testée avec son coût en performance.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TP 12 – Mini-projet de synthèse de bout en bout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Semaine / RA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S9-S12 / RA1 à RA8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Jeu de données choisi par le groupe (agriculture, santé, finance, énergie, éducation), validé par l'enseignant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demandé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Cadrer le problème et définir la métrique de succès.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Explorer et préparer les données dans un pipeline.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Comparer au moins trois familles d'algorithmes avec validation rigoureuse.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Expliquer le modèle retenu et auditer ses biais potentiels.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Rédiger un rapport et préparer la soutenance (présentation des TP).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Livrables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Rapport de 8 à 10 pages, carnet, support de soutenance.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 attendus</w:t>
            </w:r>
          </w:p>
        </w:tc>
        <w:tc>
          <w:tcPr>
            <w:tcW w:type="dxa" w:w="7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Démarche complète et reproductible ; recommandations destinées à un public non technique.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7. Présentation des travaux pratiques (30 %)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7.1 Modalités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Soutenance orale de groupe portant sur le mini-projet de synthèse (TP 12) et sur un TP au choix du jury parmi les TP 1 à 11 rendus par le groupe.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Durée : 15 minutes de présentation, 5 minutes de questions individualisées sur le code et les choix méthodologiques.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Livrables : rapport de 8 à 10 pages, carnet Jupyter final, support de soutenance (12 diapositives au plus).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Une note individuelle est attribuée : 70 % de la note de groupe et 30 % de la performance aux questions individuelles.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7.2 Plan type de la soutenance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6006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Séquence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Contexte et problème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Enjeu métier, cible, critère de succès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Données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Source, exploration, prétraitement, risques de biais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Modélisation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Familles d'algorithmes comparées, validation, hyperparamètres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Résultats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Métriques sur le jeu de test, comparaison, analyse des erreurs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Interprétation et éthique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Importance des variables, explications, audit d'équité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Conclusion et recommandations</w:t>
            </w:r>
          </w:p>
        </w:tc>
        <w:tc>
          <w:tcPr>
            <w:tcW w:type="dxa" w:w="6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Résumé pour un public non technique, limites, perspectives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7.3 Grille de notation (20 points)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906"/>
      </w:tblGrid>
      <w:tr>
        <w:trPr>
          <w:cantSplit/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Clarté et structure de la présentation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suivi, message principal, vulgarisation pour un public non technique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Maîtrise technique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Choix des algorithmes justifiés, validation correcte, hyperparamètres compris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Analyse critique et éthique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Limites, biais, interprétabilité, honnêteté sur les résultats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Réponses aux questions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Précision et capacité à justifier le code et les choix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Support et gestion du temps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Diapositives lisibles, démonstration, respect de la durée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8. Couverture des résultats d'apprentissage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tableau montre que chacun des huit résultats d'apprentissage du syllabus est évalué par au moins deux composantes.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Composante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RA1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RA2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RA3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RA4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RA5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RA6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RA7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RA8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Interrogation (QCM)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Mi-parcours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Examen final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Exposés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 (1 à 12)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Présentation des TP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8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7"/>
        <w:szCs w:val="17"/>
      </w:rPr>
      <w:t xml:space="preserve">IPNET – DSC 345 Machine Learning – Évaluations, exposés et travaux pratiques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DSC 345 – Évaluations, exposés et TP</dc:title>
  <dc:creator>Marc AYI AGBOLO</dc:creator>
  <cp:lastModifiedBy>Un-named</cp:lastModifiedBy>
  <cp:revision>1</cp:revision>
  <dcterms:created xsi:type="dcterms:W3CDTF">2026-10-14T09:16:24.779Z</dcterms:created>
  <dcterms:modified xsi:type="dcterms:W3CDTF">2026-10-14T09:16:24.780Z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