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5B6B66"/>
          <w:sz w:val="18"/>
          <w:szCs w:val="18"/>
        </w:rPr>
        <w:t xml:space="preserve">TOGO AI LAB · FORMATION IA · VERSION NON-IT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6A4E"/>
          <w:sz w:val="40"/>
          <w:szCs w:val="40"/>
        </w:rPr>
        <w:t xml:space="preserve">Module 3 · Fine-tuning, LoRA et QLoRA</w:t>
      </w:r>
    </w:p>
    <w:p>
      <w:pPr>
        <w:spacing w:after="200"/>
      </w:pPr>
      <w:r>
        <w:rPr>
          <w:rFonts w:ascii="Arial" w:cs="Arial" w:eastAsia="Arial" w:hAnsi="Arial"/>
          <w:color w:val="006A4E"/>
          <w:sz w:val="28"/>
          <w:szCs w:val="28"/>
        </w:rPr>
        <w:t xml:space="preserve">Atelier guidé sans code : « Former l’assistant »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cantSplit/>
        </w:trP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3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Durée</w:t>
            </w:r>
          </w:p>
        </w:tc>
        <w:tc>
          <w:tcPr>
            <w:tcW w:type="dxa" w:w="72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h 15 (trois ateliers), après la présentation du module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3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Organisation</w:t>
            </w:r>
          </w:p>
        </w:tc>
        <w:tc>
          <w:tcPr>
            <w:tcW w:type="dxa" w:w="72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Groupes de 3 ou 4 personnes. Un rapporteur par groupe, désigné à chaque atelier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3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Matériel</w:t>
            </w:r>
          </w:p>
        </w:tc>
        <w:tc>
          <w:tcPr>
            <w:tcW w:type="dxa" w:w="72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Cartes imprimées et découpées, feutres, grandes feuilles, ce livret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3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Prérequis</w:t>
            </w:r>
          </w:p>
        </w:tc>
        <w:tc>
          <w:tcPr>
            <w:tcW w:type="dxa" w:w="72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Aucun : pas d’ordinateur, pas de programmation, pas de calcul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3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Données</w:t>
            </w:r>
          </w:p>
        </w:tc>
        <w:tc>
          <w:tcPr>
            <w:tcW w:type="dxa" w:w="72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Tous les messages, exemples et réponses sont fictifs. Aucun ne provient d’une personne réelle</w:t>
            </w:r>
          </w:p>
        </w:tc>
      </w:tr>
    </w:tbl>
    <w:p>
      <w:pPr>
        <w:spacing w:after="80" w:line="276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Objectif de l’atelier.</w:t>
      </w:r>
      <w:r>
        <w:rPr>
          <w:rFonts w:ascii="Arial" w:cs="Arial" w:eastAsia="Arial" w:hAnsi="Arial"/>
          <w:sz w:val="21"/>
          <w:szCs w:val="21"/>
        </w:rPr>
        <w:t xml:space="preserve"> Mettre en pratique, sans ordinateur, les trois décisions qui font réussir une spécialisation de modèle : choisir la bonne approche, préparer de bons exemples d’entraînement, et juger honnêtement le résultat. À la fin, vous saurez expliquer pourquoi la qualité des exemples compte plus que leur nombre.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Règle du jeu.</w:t>
      </w:r>
      <w:r>
        <w:rPr>
          <w:rFonts w:ascii="Arial" w:cs="Arial" w:eastAsia="Arial" w:hAnsi="Arial"/>
          <w:sz w:val="21"/>
          <w:szCs w:val="21"/>
        </w:rPr>
        <w:t xml:space="preserve"> Vous êtes l’équipe qui forme l’assistant. Pour chaque décision, vous devez la justifier en une phrase.</w:t>
      </w:r>
    </w:p>
    <w:p>
      <w:pPr>
        <w:pStyle w:val="Heading1"/>
        <w:keepNext/>
        <w:spacing w:after="140" w:before="280"/>
      </w:pPr>
      <w:r>
        <w:rPr>
          <w:rFonts w:ascii="Arial" w:cs="Arial" w:eastAsia="Arial" w:hAnsi="Arial"/>
          <w:b/>
          <w:bCs/>
          <w:color w:val="006A4E"/>
          <w:sz w:val="30"/>
          <w:szCs w:val="30"/>
        </w:rPr>
        <w:t xml:space="preserve">Atelier 1 · Le bon choix (20 min)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Trois approches existent pour adapter un assistant :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les consignes</w:t>
      </w:r>
      <w:r>
        <w:rPr>
          <w:rFonts w:ascii="Arial" w:cs="Arial" w:eastAsia="Arial" w:hAnsi="Arial"/>
          <w:sz w:val="21"/>
          <w:szCs w:val="21"/>
        </w:rPr>
        <w:t xml:space="preserve"> (briefer l’assistant),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l’accès aux documents</w:t>
      </w:r>
      <w:r>
        <w:rPr>
          <w:rFonts w:ascii="Arial" w:cs="Arial" w:eastAsia="Arial" w:hAnsi="Arial"/>
          <w:sz w:val="21"/>
          <w:szCs w:val="21"/>
        </w:rPr>
        <w:t xml:space="preserve"> (lui laisser la documentation) et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la formation</w:t>
      </w:r>
      <w:r>
        <w:rPr>
          <w:rFonts w:ascii="Arial" w:cs="Arial" w:eastAsia="Arial" w:hAnsi="Arial"/>
          <w:sz w:val="21"/>
          <w:szCs w:val="21"/>
        </w:rPr>
        <w:t xml:space="preserve"> (le former sur des exemples). Une quatrième réponse est parfois la meilleure :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ne pas automatiser</w:t>
      </w:r>
      <w:r>
        <w:rPr>
          <w:rFonts w:ascii="Arial" w:cs="Arial" w:eastAsia="Arial" w:hAnsi="Arial"/>
          <w:sz w:val="21"/>
          <w:szCs w:val="21"/>
        </w:rPr>
        <w:t xml:space="preserve">.</w:t>
      </w:r>
    </w:p>
    <w:p>
      <w:pPr>
        <w:pStyle w:val="Heading2"/>
        <w:keepNext/>
        <w:spacing w:after="100" w:before="220"/>
      </w:pPr>
      <w:r>
        <w:rPr>
          <w:rFonts w:ascii="Arial" w:cs="Arial" w:eastAsia="Arial" w:hAnsi="Arial"/>
          <w:b/>
          <w:bCs/>
          <w:color w:val="006A4E"/>
          <w:sz w:val="24"/>
          <w:szCs w:val="24"/>
        </w:rPr>
        <w:t xml:space="preserve">Consigne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sz w:val="21"/>
          <w:szCs w:val="21"/>
        </w:rPr>
        <w:t xml:space="preserve">Découpez les 10 cartes de situations (page suivante).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sz w:val="21"/>
          <w:szCs w:val="21"/>
        </w:rPr>
        <w:t xml:space="preserve">Posez chaque carte dans la bonne colonne du tableau, puis notez votre justification.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sz w:val="21"/>
          <w:szCs w:val="21"/>
        </w:rPr>
        <w:t xml:space="preserve">Comparez avec un autre groupe : sur quelles cartes n’êtes-vous pas d’accord ?</w:t>
      </w:r>
    </w:p>
    <w:p>
      <w:pPr>
        <w:pStyle w:val="Heading2"/>
        <w:keepNext/>
        <w:pageBreakBefore/>
        <w:spacing w:after="100" w:before="220"/>
      </w:pPr>
      <w:r>
        <w:rPr>
          <w:rFonts w:ascii="Arial" w:cs="Arial" w:eastAsia="Arial" w:hAnsi="Arial"/>
          <w:b/>
          <w:bCs/>
          <w:color w:val="006A4E"/>
          <w:sz w:val="24"/>
          <w:szCs w:val="24"/>
        </w:rPr>
        <w:t xml:space="preserve">Cartes de situations (à découper)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rHeight w:val="1100" w:hRule="atLeast"/>
        </w:trPr>
        <w:tc>
          <w:tcPr>
            <w:tcW w:type="dxa" w:w="4819"/>
            <w:tcBorders>
              <w:top w:val="dashed" w:color="777777" w:sz="6"/>
              <w:left w:val="dashed" w:color="777777" w:sz="6"/>
              <w:bottom w:val="dashed" w:color="777777" w:sz="6"/>
              <w:right w:val="dashed" w:color="777777" w:sz="6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06A4E"/>
                <w:sz w:val="18"/>
                <w:szCs w:val="18"/>
              </w:rPr>
              <w:t xml:space="preserve">Situation A</w:t>
            </w:r>
          </w:p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Répondre aux usagers sur les horaires du centre de santé, qui changent chaque mois.</w:t>
            </w:r>
          </w:p>
        </w:tc>
        <w:tc>
          <w:tcPr>
            <w:tcW w:type="dxa" w:w="4819"/>
            <w:tcBorders>
              <w:top w:val="dashed" w:color="777777" w:sz="6"/>
              <w:left w:val="dashed" w:color="777777" w:sz="6"/>
              <w:bottom w:val="dashed" w:color="777777" w:sz="6"/>
              <w:right w:val="dashed" w:color="777777" w:sz="6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06A4E"/>
                <w:sz w:val="18"/>
                <w:szCs w:val="18"/>
              </w:rPr>
              <w:t xml:space="preserve">Situation B</w:t>
            </w:r>
          </w:p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Rédiger des courriers dans le ton officiel de notre administration.</w:t>
            </w:r>
          </w:p>
        </w:tc>
      </w:tr>
      <w:tr>
        <w:trPr>
          <w:cantSplit/>
          <w:trHeight w:val="1100" w:hRule="atLeast"/>
        </w:trPr>
        <w:tc>
          <w:tcPr>
            <w:tcW w:type="dxa" w:w="4819"/>
            <w:tcBorders>
              <w:top w:val="dashed" w:color="777777" w:sz="6"/>
              <w:left w:val="dashed" w:color="777777" w:sz="6"/>
              <w:bottom w:val="dashed" w:color="777777" w:sz="6"/>
              <w:right w:val="dashed" w:color="777777" w:sz="6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06A4E"/>
                <w:sz w:val="18"/>
                <w:szCs w:val="18"/>
              </w:rPr>
              <w:t xml:space="preserve">Situation C</w:t>
            </w:r>
          </w:p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Classer 5 000 messages par semaine dans nos 12 catégories de services.</w:t>
            </w:r>
          </w:p>
        </w:tc>
        <w:tc>
          <w:tcPr>
            <w:tcW w:type="dxa" w:w="4819"/>
            <w:tcBorders>
              <w:top w:val="dashed" w:color="777777" w:sz="6"/>
              <w:left w:val="dashed" w:color="777777" w:sz="6"/>
              <w:bottom w:val="dashed" w:color="777777" w:sz="6"/>
              <w:right w:val="dashed" w:color="777777" w:sz="6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06A4E"/>
                <w:sz w:val="18"/>
                <w:szCs w:val="18"/>
              </w:rPr>
              <w:t xml:space="preserve">Situation D</w:t>
            </w:r>
          </w:p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Retrouver dans le règlement intérieur l’article sur les congés.</w:t>
            </w:r>
          </w:p>
        </w:tc>
      </w:tr>
      <w:tr>
        <w:trPr>
          <w:cantSplit/>
          <w:trHeight w:val="1100" w:hRule="atLeast"/>
        </w:trPr>
        <w:tc>
          <w:tcPr>
            <w:tcW w:type="dxa" w:w="4819"/>
            <w:tcBorders>
              <w:top w:val="dashed" w:color="777777" w:sz="6"/>
              <w:left w:val="dashed" w:color="777777" w:sz="6"/>
              <w:bottom w:val="dashed" w:color="777777" w:sz="6"/>
              <w:right w:val="dashed" w:color="777777" w:sz="6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06A4E"/>
                <w:sz w:val="18"/>
                <w:szCs w:val="18"/>
              </w:rPr>
              <w:t xml:space="preserve">Situation E</w:t>
            </w:r>
          </w:p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Comprendre des messages écrits dans une langue locale que le modèle comprend mal.</w:t>
            </w:r>
          </w:p>
        </w:tc>
        <w:tc>
          <w:tcPr>
            <w:tcW w:type="dxa" w:w="4819"/>
            <w:tcBorders>
              <w:top w:val="dashed" w:color="777777" w:sz="6"/>
              <w:left w:val="dashed" w:color="777777" w:sz="6"/>
              <w:bottom w:val="dashed" w:color="777777" w:sz="6"/>
              <w:right w:val="dashed" w:color="777777" w:sz="6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06A4E"/>
                <w:sz w:val="18"/>
                <w:szCs w:val="18"/>
              </w:rPr>
              <w:t xml:space="preserve">Situation F</w:t>
            </w:r>
          </w:p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Résumer un texte une seule fois pour une réunion.</w:t>
            </w:r>
          </w:p>
        </w:tc>
      </w:tr>
      <w:tr>
        <w:trPr>
          <w:cantSplit/>
          <w:trHeight w:val="1100" w:hRule="atLeast"/>
        </w:trPr>
        <w:tc>
          <w:tcPr>
            <w:tcW w:type="dxa" w:w="4819"/>
            <w:tcBorders>
              <w:top w:val="dashed" w:color="777777" w:sz="6"/>
              <w:left w:val="dashed" w:color="777777" w:sz="6"/>
              <w:bottom w:val="dashed" w:color="777777" w:sz="6"/>
              <w:right w:val="dashed" w:color="777777" w:sz="6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06A4E"/>
                <w:sz w:val="18"/>
                <w:szCs w:val="18"/>
              </w:rPr>
              <w:t xml:space="preserve">Situation G</w:t>
            </w:r>
          </w:p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Décider seul d’accorder ou de refuser une aide à un usager.</w:t>
            </w:r>
          </w:p>
        </w:tc>
        <w:tc>
          <w:tcPr>
            <w:tcW w:type="dxa" w:w="4819"/>
            <w:tcBorders>
              <w:top w:val="dashed" w:color="777777" w:sz="6"/>
              <w:left w:val="dashed" w:color="777777" w:sz="6"/>
              <w:bottom w:val="dashed" w:color="777777" w:sz="6"/>
              <w:right w:val="dashed" w:color="777777" w:sz="6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06A4E"/>
                <w:sz w:val="18"/>
                <w:szCs w:val="18"/>
              </w:rPr>
              <w:t xml:space="preserve">Situation H</w:t>
            </w:r>
          </w:p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Repérer les noms de médicaments dans des centaines de comptes rendus.</w:t>
            </w:r>
          </w:p>
        </w:tc>
      </w:tr>
      <w:tr>
        <w:trPr>
          <w:cantSplit/>
          <w:trHeight w:val="1100" w:hRule="atLeast"/>
        </w:trPr>
        <w:tc>
          <w:tcPr>
            <w:tcW w:type="dxa" w:w="4819"/>
            <w:tcBorders>
              <w:top w:val="dashed" w:color="777777" w:sz="6"/>
              <w:left w:val="dashed" w:color="777777" w:sz="6"/>
              <w:bottom w:val="dashed" w:color="777777" w:sz="6"/>
              <w:right w:val="dashed" w:color="777777" w:sz="6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06A4E"/>
                <w:sz w:val="18"/>
                <w:szCs w:val="18"/>
              </w:rPr>
              <w:t xml:space="preserve">Situation I</w:t>
            </w:r>
          </w:p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Répondre à des questions sur la loi de finances de cette année.</w:t>
            </w:r>
          </w:p>
        </w:tc>
        <w:tc>
          <w:tcPr>
            <w:tcW w:type="dxa" w:w="4819"/>
            <w:tcBorders>
              <w:top w:val="dashed" w:color="777777" w:sz="6"/>
              <w:left w:val="dashed" w:color="777777" w:sz="6"/>
              <w:bottom w:val="dashed" w:color="777777" w:sz="6"/>
              <w:right w:val="dashed" w:color="777777" w:sz="6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06A4E"/>
                <w:sz w:val="18"/>
                <w:szCs w:val="18"/>
              </w:rPr>
              <w:t xml:space="preserve">Situation J</w:t>
            </w:r>
          </w:p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Obtenir toujours des réponses en deux phrases courtes et polies.</w:t>
            </w:r>
          </w:p>
        </w:tc>
      </w:tr>
    </w:tbl>
    <w:p>
      <w:pPr>
        <w:spacing w:after="120" w:line="276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500"/>
        <w:gridCol w:w="4838"/>
      </w:tblGrid>
      <w:tr>
        <w:trPr>
          <w:cantSplit/>
          <w:tblHeader/>
        </w:trP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006A4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Approche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006A4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Cartes classées (lettres)</w:t>
            </w:r>
          </w:p>
        </w:tc>
        <w:tc>
          <w:tcPr>
            <w:tcW w:type="dxa" w:w="48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006A4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Justification en une phrase</w:t>
            </w:r>
          </w:p>
        </w:tc>
      </w:tr>
      <w:tr>
        <w:trPr>
          <w:cantSplit/>
          <w:trHeight w:val="700" w:hRule="atLeast"/>
        </w:trP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3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Consignes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48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</w:p>
        </w:tc>
      </w:tr>
      <w:tr>
        <w:trPr>
          <w:cantSplit/>
          <w:trHeight w:val="700" w:hRule="atLeast"/>
        </w:trP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3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Accès aux documents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48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</w:p>
        </w:tc>
      </w:tr>
      <w:tr>
        <w:trPr>
          <w:cantSplit/>
          <w:trHeight w:val="700" w:hRule="atLeast"/>
        </w:trP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3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Formation (fine-tuning)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48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</w:p>
        </w:tc>
      </w:tr>
      <w:tr>
        <w:trPr>
          <w:cantSplit/>
          <w:trHeight w:val="700" w:hRule="atLeast"/>
        </w:trP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3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 d’automatisation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48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</w:p>
        </w:tc>
      </w:tr>
    </w:tbl>
    <w:p>
      <w:pPr>
        <w:pStyle w:val="Heading1"/>
        <w:keepNext/>
        <w:pageBreakBefore/>
        <w:spacing w:after="140" w:before="280"/>
      </w:pPr>
      <w:r>
        <w:rPr>
          <w:rFonts w:ascii="Arial" w:cs="Arial" w:eastAsia="Arial" w:hAnsi="Arial"/>
          <w:b/>
          <w:bCs/>
          <w:color w:val="006A4E"/>
          <w:sz w:val="30"/>
          <w:szCs w:val="30"/>
        </w:rPr>
        <w:t xml:space="preserve">Atelier 2 · L’atelier des exemples (35 min)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Vous préparez la formation d’un assistant qui doit classer les messages en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santé</w:t>
      </w:r>
      <w:r>
        <w:rPr>
          <w:rFonts w:ascii="Arial" w:cs="Arial" w:eastAsia="Arial" w:hAnsi="Arial"/>
          <w:sz w:val="21"/>
          <w:szCs w:val="21"/>
        </w:rPr>
        <w:t xml:space="preserve">,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état civil</w:t>
      </w:r>
      <w:r>
        <w:rPr>
          <w:rFonts w:ascii="Arial" w:cs="Arial" w:eastAsia="Arial" w:hAnsi="Arial"/>
          <w:sz w:val="21"/>
          <w:szCs w:val="21"/>
        </w:rPr>
        <w:t xml:space="preserve"> ou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éducation</w:t>
      </w:r>
      <w:r>
        <w:rPr>
          <w:rFonts w:ascii="Arial" w:cs="Arial" w:eastAsia="Arial" w:hAnsi="Arial"/>
          <w:sz w:val="21"/>
          <w:szCs w:val="21"/>
        </w:rPr>
        <w:t xml:space="preserve">. Voici dix exemples d’entraînement, tels qu’ils ont été collectés.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Attention : huit contiennent un défaut, deux sont bons.</w:t>
      </w:r>
    </w:p>
    <w:p>
      <w:pPr>
        <w:pStyle w:val="Heading2"/>
        <w:keepNext/>
        <w:spacing w:after="100" w:before="220"/>
      </w:pPr>
      <w:r>
        <w:rPr>
          <w:rFonts w:ascii="Arial" w:cs="Arial" w:eastAsia="Arial" w:hAnsi="Arial"/>
          <w:b/>
          <w:bCs/>
          <w:color w:val="006A4E"/>
          <w:sz w:val="24"/>
          <w:szCs w:val="24"/>
        </w:rPr>
        <w:t xml:space="preserve">Étape A · Repérer (10 min)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Lisez chaque exemple. Pour chacun, cochez « bon » ou nommez le défaut :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erreur</w:t>
      </w:r>
      <w:r>
        <w:rPr>
          <w:rFonts w:ascii="Arial" w:cs="Arial" w:eastAsia="Arial" w:hAnsi="Arial"/>
          <w:sz w:val="21"/>
          <w:szCs w:val="21"/>
        </w:rPr>
        <w:t xml:space="preserve">,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contradiction</w:t>
      </w:r>
      <w:r>
        <w:rPr>
          <w:rFonts w:ascii="Arial" w:cs="Arial" w:eastAsia="Arial" w:hAnsi="Arial"/>
          <w:sz w:val="21"/>
          <w:szCs w:val="21"/>
        </w:rPr>
        <w:t xml:space="preserve">,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donnée personnelle</w:t>
      </w:r>
      <w:r>
        <w:rPr>
          <w:rFonts w:ascii="Arial" w:cs="Arial" w:eastAsia="Arial" w:hAnsi="Arial"/>
          <w:sz w:val="21"/>
          <w:szCs w:val="21"/>
        </w:rPr>
        <w:t xml:space="preserve">,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trop vague</w:t>
      </w:r>
      <w:r>
        <w:rPr>
          <w:rFonts w:ascii="Arial" w:cs="Arial" w:eastAsia="Arial" w:hAnsi="Arial"/>
          <w:sz w:val="21"/>
          <w:szCs w:val="21"/>
        </w:rPr>
        <w:t xml:space="preserve">,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préjugé</w:t>
      </w:r>
      <w:r>
        <w:rPr>
          <w:rFonts w:ascii="Arial" w:cs="Arial" w:eastAsia="Arial" w:hAnsi="Arial"/>
          <w:sz w:val="21"/>
          <w:szCs w:val="21"/>
        </w:rPr>
        <w:t xml:space="preserve">,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hors tâche</w:t>
      </w:r>
      <w:r>
        <w:rPr>
          <w:rFonts w:ascii="Arial" w:cs="Arial" w:eastAsia="Arial" w:hAnsi="Arial"/>
          <w:sz w:val="21"/>
          <w:szCs w:val="21"/>
        </w:rPr>
        <w:t xml:space="preserve">,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doublon</w:t>
      </w:r>
      <w:r>
        <w:rPr>
          <w:rFonts w:ascii="Arial" w:cs="Arial" w:eastAsia="Arial" w:hAnsi="Arial"/>
          <w:sz w:val="21"/>
          <w:szCs w:val="21"/>
        </w:rP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1800"/>
        <w:gridCol w:w="1500"/>
        <w:gridCol w:w="2338"/>
      </w:tblGrid>
      <w:tr>
        <w:trPr>
          <w:cantSplit/>
          <w:tblHeader/>
        </w:trP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006A4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N°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006A4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006A4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Réponse attendue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006A4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Bon ou défaut ?</w:t>
            </w:r>
          </w:p>
        </w:tc>
        <w:tc>
          <w:tcPr>
            <w:tcW w:type="dxa" w:w="23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006A4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Votre correction</w:t>
            </w:r>
          </w:p>
        </w:tc>
      </w:tr>
      <w:tr>
        <w:trPr>
          <w:cantSplit/>
          <w:trHeight w:val="470" w:hRule="atLeast"/>
        </w:trP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Où faire vacciner mon bébé ?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Éducation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23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</w:p>
        </w:tc>
      </w:tr>
      <w:tr>
        <w:trPr>
          <w:cantSplit/>
          <w:trHeight w:val="470" w:hRule="atLeast"/>
        </w:trP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Mon fils a de la fièvre depuis deux jours.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Santé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23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</w:p>
        </w:tc>
      </w:tr>
      <w:tr>
        <w:trPr>
          <w:cantSplit/>
          <w:trHeight w:val="470" w:hRule="atLeast"/>
        </w:trP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Mon enfant a de la fièvre depuis deux jours.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Éducation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23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</w:p>
        </w:tc>
      </w:tr>
      <w:tr>
        <w:trPr>
          <w:cantSplit/>
          <w:trHeight w:val="470" w:hRule="atLeast"/>
        </w:trP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Je m’appelle K. M., mon numéro est le 90 00 00 00, je suis suivi pour une maladie grave. Où trouver un traitement ?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Santé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23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</w:p>
        </w:tc>
      </w:tr>
      <w:tr>
        <w:trPr>
          <w:cantSplit/>
          <w:trHeight w:val="470" w:hRule="atLeast"/>
        </w:trP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Aide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Santé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23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</w:p>
        </w:tc>
      </w:tr>
      <w:tr>
        <w:trPr>
          <w:cantSplit/>
          <w:trHeight w:val="470" w:hRule="atLeast"/>
        </w:trP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Quand commence la rentrée scolaire ?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Éducation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23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</w:p>
        </w:tc>
      </w:tr>
      <w:tr>
        <w:trPr>
          <w:cantSplit/>
          <w:trHeight w:val="470" w:hRule="atLeast"/>
        </w:trP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Les gens de ce village font toujours de fausses déclarations de naissance.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État civil, dossier suspect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23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</w:p>
        </w:tc>
      </w:tr>
      <w:tr>
        <w:trPr>
          <w:cantSplit/>
          <w:trHeight w:val="470" w:hRule="atLeast"/>
        </w:trP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Je veux renouveler mon passeport.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Merci de votre message, nous vous répondrons bientôt.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23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</w:p>
        </w:tc>
      </w:tr>
      <w:tr>
        <w:trPr>
          <w:cantSplit/>
          <w:trHeight w:val="470" w:hRule="atLeast"/>
        </w:trP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ou fer vacsiner mon bebe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Santé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23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</w:p>
        </w:tc>
      </w:tr>
      <w:tr>
        <w:trPr>
          <w:cantSplit/>
          <w:trHeight w:val="470" w:hRule="atLeast"/>
        </w:trP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Où faire vacciner mon bébé ?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Santé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23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</w:p>
        </w:tc>
      </w:tr>
    </w:tbl>
    <w:p>
      <w:pPr>
        <w:spacing w:after="60" w:line="276"/>
      </w:pPr>
    </w:p>
    <w:p>
      <w:pPr>
        <w:pStyle w:val="Heading2"/>
        <w:keepNext/>
        <w:spacing w:after="100" w:before="220"/>
      </w:pPr>
      <w:r>
        <w:rPr>
          <w:rFonts w:ascii="Arial" w:cs="Arial" w:eastAsia="Arial" w:hAnsi="Arial"/>
          <w:b/>
          <w:bCs/>
          <w:color w:val="006A4E"/>
          <w:sz w:val="24"/>
          <w:szCs w:val="24"/>
        </w:rPr>
        <w:t xml:space="preserve">Étape B · Corriger (15 min)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Réécrivez les exemples défectueux pour qu’ils deviennent utilisables, ou décidez de les supprimer. Notez vos règles de qualité dans le cadre.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650" w:hRule="atLeast"/>
        </w:trPr>
        <w:tc>
          <w:tcPr>
            <w:tcW w:type="dxa" w:w="9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</w:p>
        </w:tc>
      </w:tr>
      <w:tr>
        <w:trPr>
          <w:cantSplit/>
          <w:trHeight w:val="650" w:hRule="atLeast"/>
        </w:trPr>
        <w:tc>
          <w:tcPr>
            <w:tcW w:type="dxa" w:w="9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</w:p>
        </w:tc>
      </w:tr>
    </w:tbl>
    <w:p>
      <w:pPr>
        <w:spacing w:after="60" w:line="276"/>
      </w:pPr>
    </w:p>
    <w:p>
      <w:pPr>
        <w:pStyle w:val="Heading2"/>
        <w:keepNext/>
        <w:spacing w:after="100" w:before="220"/>
      </w:pPr>
      <w:r>
        <w:rPr>
          <w:rFonts w:ascii="Arial" w:cs="Arial" w:eastAsia="Arial" w:hAnsi="Arial"/>
          <w:b/>
          <w:bCs/>
          <w:color w:val="006A4E"/>
          <w:sz w:val="24"/>
          <w:szCs w:val="24"/>
        </w:rPr>
        <w:t xml:space="preserve">Étape C · Comparer (10 min)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sz w:val="21"/>
          <w:szCs w:val="21"/>
        </w:rPr>
        <w:t xml:space="preserve">Combien d’exemples sont réellement utilisables ? Qui doit relire les exemples, et comment protéger les données personnelles ?</w:t>
      </w:r>
    </w:p>
    <w:p>
      <w:pPr>
        <w:pStyle w:val="Heading1"/>
        <w:keepNext/>
        <w:pageBreakBefore/>
        <w:spacing w:after="140" w:before="280"/>
      </w:pPr>
      <w:r>
        <w:rPr>
          <w:rFonts w:ascii="Arial" w:cs="Arial" w:eastAsia="Arial" w:hAnsi="Arial"/>
          <w:b/>
          <w:bCs/>
          <w:color w:val="006A4E"/>
          <w:sz w:val="30"/>
          <w:szCs w:val="30"/>
        </w:rPr>
        <w:t xml:space="preserve">Atelier 3 · Avant / Après (20 min)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Deux assistants répondent aux mêmes questions : l’assistant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de base</w:t>
      </w:r>
      <w:r>
        <w:rPr>
          <w:rFonts w:ascii="Arial" w:cs="Arial" w:eastAsia="Arial" w:hAnsi="Arial"/>
          <w:sz w:val="21"/>
          <w:szCs w:val="21"/>
        </w:rPr>
        <w:t xml:space="preserve"> (non spécialisé) et l’assistant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spécialisé</w:t>
      </w:r>
      <w:r>
        <w:rPr>
          <w:rFonts w:ascii="Arial" w:cs="Arial" w:eastAsia="Arial" w:hAnsi="Arial"/>
          <w:sz w:val="21"/>
          <w:szCs w:val="21"/>
        </w:rPr>
        <w:t xml:space="preserve"> (après formation). Vous êtes le comité qui décide s’il est prêt à servir les usagers.</w:t>
      </w:r>
    </w:p>
    <w:p>
      <w:pPr>
        <w:pStyle w:val="Heading2"/>
        <w:keepNext/>
        <w:spacing w:after="100" w:before="220"/>
      </w:pPr>
      <w:r>
        <w:rPr>
          <w:rFonts w:ascii="Arial" w:cs="Arial" w:eastAsia="Arial" w:hAnsi="Arial"/>
          <w:b/>
          <w:bCs/>
          <w:color w:val="006A4E"/>
          <w:sz w:val="24"/>
          <w:szCs w:val="24"/>
        </w:rPr>
        <w:t xml:space="preserve">Consigne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sz w:val="21"/>
          <w:szCs w:val="21"/>
        </w:rPr>
        <w:t xml:space="preserve">Notez chaque réponse de 1 (mauvaise) à 5 (excellente) selon quatre critères :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juste</w:t>
      </w:r>
      <w:r>
        <w:rPr>
          <w:rFonts w:ascii="Arial" w:cs="Arial" w:eastAsia="Arial" w:hAnsi="Arial"/>
          <w:sz w:val="21"/>
          <w:szCs w:val="21"/>
        </w:rPr>
        <w:t xml:space="preserve">,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claire</w:t>
      </w:r>
      <w:r>
        <w:rPr>
          <w:rFonts w:ascii="Arial" w:cs="Arial" w:eastAsia="Arial" w:hAnsi="Arial"/>
          <w:sz w:val="21"/>
          <w:szCs w:val="21"/>
        </w:rPr>
        <w:t xml:space="preserve">,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adaptée à notre contexte</w:t>
      </w:r>
      <w:r>
        <w:rPr>
          <w:rFonts w:ascii="Arial" w:cs="Arial" w:eastAsia="Arial" w:hAnsi="Arial"/>
          <w:sz w:val="21"/>
          <w:szCs w:val="21"/>
        </w:rPr>
        <w:t xml:space="preserve">,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n’invente rien</w:t>
      </w:r>
      <w:r>
        <w:rPr>
          <w:rFonts w:ascii="Arial" w:cs="Arial" w:eastAsia="Arial" w:hAnsi="Arial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sz w:val="21"/>
          <w:szCs w:val="21"/>
        </w:rPr>
        <w:t xml:space="preserve">Surlignez toute information qui vous semble inventée.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sz w:val="21"/>
          <w:szCs w:val="21"/>
        </w:rPr>
        <w:t xml:space="preserve">Décidez : l’assistant spécialisé peut-il être mis en service ? À quelles conditions 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2100"/>
        <w:gridCol w:w="2700"/>
        <w:gridCol w:w="2700"/>
        <w:gridCol w:w="1688"/>
      </w:tblGrid>
      <w:tr>
        <w:trPr>
          <w:cantSplit/>
          <w:tblHeader/>
        </w:trPr>
        <w:tc>
          <w:tcPr>
            <w:tcW w:type="dxa" w:w="4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006A4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N°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006A4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006A4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Assistant de base</w:t>
            </w:r>
          </w:p>
        </w:tc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006A4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Assistant spécialisé</w:t>
            </w:r>
          </w:p>
        </w:tc>
        <w:tc>
          <w:tcPr>
            <w:tcW w:type="dxa" w:w="168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006A4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sur 5</w:t>
            </w:r>
          </w:p>
        </w:tc>
      </w:tr>
      <w:tr>
        <w:trPr>
          <w:cantSplit/>
          <w:trHeight w:val="1050" w:hRule="atLeast"/>
        </w:trPr>
        <w:tc>
          <w:tcPr>
            <w:tcW w:type="dxa" w:w="4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Où faire vacciner mon bébé ?</w:t>
            </w:r>
          </w:p>
        </w:tc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Vous pouvez le vacciner dans n’importe quelle pharmacie, dès la naissance.</w:t>
            </w:r>
          </w:p>
        </w:tc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 centre de santé de votre quartier, selon le calendrier vaccinal. Je peux vous donner les horaires.</w:t>
            </w:r>
          </w:p>
        </w:tc>
        <w:tc>
          <w:tcPr>
            <w:tcW w:type="dxa" w:w="168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</w:p>
        </w:tc>
      </w:tr>
      <w:tr>
        <w:trPr>
          <w:cantSplit/>
          <w:trHeight w:val="1050" w:hRule="atLeast"/>
        </w:trPr>
        <w:tc>
          <w:tcPr>
            <w:tcW w:type="dxa" w:w="4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Comment renouveler ma carte d’identité ?</w:t>
            </w:r>
          </w:p>
        </w:tc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Les démarches varient beaucoup d’un pays à l’autre. Consultez le site officiel de l’administration concernée.</w:t>
            </w:r>
          </w:p>
        </w:tc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Présentez-vous à la mairie avec votre ancienne carte et un justificatif de domicile. Le tarif est de 2 500 francs.</w:t>
            </w:r>
          </w:p>
        </w:tc>
        <w:tc>
          <w:tcPr>
            <w:tcW w:type="dxa" w:w="168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</w:p>
        </w:tc>
      </w:tr>
      <w:tr>
        <w:trPr>
          <w:cantSplit/>
          <w:trHeight w:val="1050" w:hRule="atLeast"/>
        </w:trPr>
        <w:tc>
          <w:tcPr>
            <w:tcW w:type="dxa" w:w="4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Pouvez-vous m’aider à obtenir un visa pour la France ?</w:t>
            </w:r>
          </w:p>
        </w:tc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Bien sûr : rendez-vous à l’ambassade avec un formulaire jaune, trois photos et 50 000 francs.</w:t>
            </w:r>
          </w:p>
        </w:tc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Ce sujet n’entre pas dans mon domaine. Je vous oriente vers un agent.</w:t>
            </w:r>
          </w:p>
        </w:tc>
        <w:tc>
          <w:tcPr>
            <w:tcW w:type="dxa" w:w="168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</w:p>
        </w:tc>
      </w:tr>
      <w:tr>
        <w:trPr>
          <w:cantSplit/>
          <w:trHeight w:val="1050" w:hRule="atLeast"/>
        </w:trPr>
        <w:tc>
          <w:tcPr>
            <w:tcW w:type="dxa" w:w="4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Mon enfant a de la fièvre et il a des convulsions.</w:t>
            </w:r>
          </w:p>
        </w:tc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Les convulsions peuvent avoir plusieurs causes. Surveillez la température et reposez-vous.</w:t>
            </w:r>
          </w:p>
        </w:tc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C’est une urgence. Rendez-vous immédiatement au centre de santé le plus proche ou appelez les secours.</w:t>
            </w:r>
          </w:p>
        </w:tc>
        <w:tc>
          <w:tcPr>
            <w:tcW w:type="dxa" w:w="168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</w:p>
        </w:tc>
      </w:tr>
      <w:tr>
        <w:trPr>
          <w:cantSplit/>
          <w:trHeight w:val="1050" w:hRule="atLeast"/>
        </w:trPr>
        <w:tc>
          <w:tcPr>
            <w:tcW w:type="dxa" w:w="4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ou fer vacsiner mon bebe</w:t>
            </w:r>
          </w:p>
        </w:tc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Je ne comprends pas votre question.</w:t>
            </w:r>
          </w:p>
        </w:tc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 centre de santé de votre quartier, selon le calendrier vaccinal.</w:t>
            </w:r>
          </w:p>
        </w:tc>
        <w:tc>
          <w:tcPr>
            <w:tcW w:type="dxa" w:w="168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</w:p>
        </w:tc>
      </w:tr>
    </w:tbl>
    <w:p>
      <w:pPr>
        <w:spacing w:after="80" w:line="276"/>
      </w:pPr>
    </w:p>
    <w:p>
      <w:pPr>
        <w:pStyle w:val="Heading2"/>
        <w:keepNext/>
        <w:spacing w:after="100" w:before="220"/>
      </w:pPr>
      <w:r>
        <w:rPr>
          <w:rFonts w:ascii="Arial" w:cs="Arial" w:eastAsia="Arial" w:hAnsi="Arial"/>
          <w:b/>
          <w:bCs/>
          <w:color w:val="006A4E"/>
          <w:sz w:val="24"/>
          <w:szCs w:val="24"/>
        </w:rPr>
        <w:t xml:space="preserve">Discussion collective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sz w:val="21"/>
          <w:szCs w:val="21"/>
        </w:rPr>
        <w:t xml:space="preserve">Quelles différences voyez-vous entre l’assistant de base et l’assistant spécialisé ?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sz w:val="21"/>
          <w:szCs w:val="21"/>
        </w:rPr>
        <w:t xml:space="preserve">L’assistant spécialisé est-il infaillible ? Qu’a-t-il en commun avec l’assistant de base ?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sz w:val="21"/>
          <w:szCs w:val="21"/>
        </w:rPr>
        <w:t xml:space="preserve">Quels contrôles mettre en place avant et après la mise en service ?</w:t>
      </w:r>
    </w:p>
    <w:p>
      <w:pPr>
        <w:spacing w:after="80" w:line="276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Ce que nous retenons :</w:t>
      </w:r>
      <w:r>
        <w:rPr>
          <w:rFonts w:ascii="Arial" w:cs="Arial" w:eastAsia="Arial" w:hAnsi="Arial"/>
          <w:sz w:val="21"/>
          <w:szCs w:val="21"/>
        </w:rPr>
        <w:t xml:space="preserve"> une spécialisation améliore le comportement d’un modèle, à condition d’avoir de bons exemples, anonymisés, et un test honnête. Elle ne supprime ni les erreurs ni les inventions : il faut toujours vérifier et garder un humain.</w:t>
      </w:r>
    </w:p>
    <w:p>
      <w:pPr>
        <w:pageBreakBefore/>
        <w:spacing w:after="60"/>
      </w:pPr>
      <w:r>
        <w:rPr>
          <w:rFonts w:ascii="Arial" w:cs="Arial" w:eastAsia="Arial" w:hAnsi="Arial"/>
          <w:b/>
          <w:bCs/>
          <w:color w:val="5B6B66"/>
          <w:sz w:val="18"/>
          <w:szCs w:val="18"/>
        </w:rPr>
        <w:t xml:space="preserve">PARTIE RÉSERVÉE AU FORMATEUR · NE PAS DISTRIBUER</w:t>
      </w:r>
    </w:p>
    <w:p>
      <w:pPr>
        <w:pStyle w:val="Heading1"/>
        <w:keepNext/>
        <w:spacing w:after="140" w:before="280"/>
      </w:pPr>
      <w:r>
        <w:rPr>
          <w:rFonts w:ascii="Arial" w:cs="Arial" w:eastAsia="Arial" w:hAnsi="Arial"/>
          <w:b/>
          <w:bCs/>
          <w:color w:val="006A4E"/>
          <w:sz w:val="30"/>
          <w:szCs w:val="30"/>
        </w:rPr>
        <w:t xml:space="preserve">Guide d’animation et corrigé</w:t>
      </w:r>
    </w:p>
    <w:p>
      <w:pPr>
        <w:pStyle w:val="Heading2"/>
        <w:keepNext/>
        <w:spacing w:after="100" w:before="220"/>
      </w:pPr>
      <w:r>
        <w:rPr>
          <w:rFonts w:ascii="Arial" w:cs="Arial" w:eastAsia="Arial" w:hAnsi="Arial"/>
          <w:b/>
          <w:bCs/>
          <w:color w:val="006A4E"/>
          <w:sz w:val="24"/>
          <w:szCs w:val="24"/>
        </w:rPr>
        <w:t xml:space="preserve">Déroulé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100"/>
        <w:gridCol w:w="7038"/>
      </w:tblGrid>
      <w:tr>
        <w:trPr>
          <w:cantSplit/>
          <w:tblHeader/>
        </w:trP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006A4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Moment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006A4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Durée</w:t>
            </w:r>
          </w:p>
        </w:tc>
        <w:tc>
          <w:tcPr>
            <w:tcW w:type="dxa" w:w="70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006A4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Animation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3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Accueil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 min</w:t>
            </w:r>
          </w:p>
        </w:tc>
        <w:tc>
          <w:tcPr>
            <w:tcW w:type="dxa" w:w="70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Présenter les trois approches avec l’image du collègue qu’on briefe, de la documentation sur le bureau et de la formation métier.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3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Atelier 1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 min</w:t>
            </w:r>
          </w:p>
        </w:tc>
        <w:tc>
          <w:tcPr>
            <w:tcW w:type="dxa" w:w="70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 min de tri, 10 min de mise en commun. Insister sur les cartes G (ne pas automatiser) et E (le manque de données).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3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Atelier 2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35 min</w:t>
            </w:r>
          </w:p>
        </w:tc>
        <w:tc>
          <w:tcPr>
            <w:tcW w:type="dxa" w:w="70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Passer entre les groupes. Faire nommer le défaut avant de corriger. Mettre en évidence la fuite de données personnelles.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3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Atelier 3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 min</w:t>
            </w:r>
          </w:p>
        </w:tc>
        <w:tc>
          <w:tcPr>
            <w:tcW w:type="dxa" w:w="70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Laisser noter avant la discussion. Révéler à la fin que l’assistant spécialisé a inventé le tarif à la question 2.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3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Clôture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 min</w:t>
            </w:r>
          </w:p>
        </w:tc>
        <w:tc>
          <w:tcPr>
            <w:tcW w:type="dxa" w:w="70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Lien avec le TP IT : « ce que vous venez de décider à la main, le notebook l’exécute avec LoRA. »</w:t>
            </w:r>
          </w:p>
        </w:tc>
      </w:tr>
    </w:tbl>
    <w:p>
      <w:pPr>
        <w:pStyle w:val="Heading2"/>
        <w:keepNext/>
        <w:spacing w:after="100" w:before="220"/>
      </w:pPr>
      <w:r>
        <w:rPr>
          <w:rFonts w:ascii="Arial" w:cs="Arial" w:eastAsia="Arial" w:hAnsi="Arial"/>
          <w:b/>
          <w:bCs/>
          <w:color w:val="006A4E"/>
          <w:sz w:val="24"/>
          <w:szCs w:val="24"/>
        </w:rPr>
        <w:t xml:space="preserve">Corrigé de l’atelier 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00"/>
        <w:gridCol w:w="4538"/>
      </w:tblGrid>
      <w:tr>
        <w:trPr>
          <w:cantSplit/>
          <w:tblHeader/>
        </w:trP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006A4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Carte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006A4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Situation</w:t>
            </w:r>
          </w:p>
        </w:tc>
        <w:tc>
          <w:tcPr>
            <w:tcW w:type="dxa" w:w="45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006A4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Approche attendue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Répondre aux usagers sur les horaires du centre de santé, qui changent chaque mois.</w:t>
            </w:r>
          </w:p>
        </w:tc>
        <w:tc>
          <w:tcPr>
            <w:tcW w:type="dxa" w:w="45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Accès aux documents (RAG)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Rédiger des courriers dans le ton officiel de notre administration.</w:t>
            </w:r>
          </w:p>
        </w:tc>
        <w:tc>
          <w:tcPr>
            <w:tcW w:type="dxa" w:w="45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Consignes, puis formation si le volume est très grand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Classer 5 000 messages par semaine dans nos 12 catégories de services.</w:t>
            </w:r>
          </w:p>
        </w:tc>
        <w:tc>
          <w:tcPr>
            <w:tcW w:type="dxa" w:w="45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Formation (fine-tuning) d’un petit modèle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Retrouver dans le règlement intérieur l’article sur les congés.</w:t>
            </w:r>
          </w:p>
        </w:tc>
        <w:tc>
          <w:tcPr>
            <w:tcW w:type="dxa" w:w="45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Accès aux documents (RAG)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Comprendre des messages écrits dans une langue locale que le modèle comprend mal.</w:t>
            </w:r>
          </w:p>
        </w:tc>
        <w:tc>
          <w:tcPr>
            <w:tcW w:type="dxa" w:w="45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Collecte de textes, puis formation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Résumer un texte une seule fois pour une réunion.</w:t>
            </w:r>
          </w:p>
        </w:tc>
        <w:tc>
          <w:tcPr>
            <w:tcW w:type="dxa" w:w="45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Consignes seulement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Décider seul d’accorder ou de refuser une aide à un usager.</w:t>
            </w:r>
          </w:p>
        </w:tc>
        <w:tc>
          <w:tcPr>
            <w:tcW w:type="dxa" w:w="45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Aucune automatisation : décision humaine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Repérer les noms de médicaments dans des centaines de comptes rendus.</w:t>
            </w:r>
          </w:p>
        </w:tc>
        <w:tc>
          <w:tcPr>
            <w:tcW w:type="dxa" w:w="45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Formation d’un petit modèle (voir module 4)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Répondre à des questions sur la loi de finances de cette année.</w:t>
            </w:r>
          </w:p>
        </w:tc>
        <w:tc>
          <w:tcPr>
            <w:tcW w:type="dxa" w:w="45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Accès aux documents (RAG)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J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Obtenir toujours des réponses en deux phrases courtes et polies.</w:t>
            </w:r>
          </w:p>
        </w:tc>
        <w:tc>
          <w:tcPr>
            <w:tcW w:type="dxa" w:w="45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Consignes seulement</w:t>
            </w:r>
          </w:p>
        </w:tc>
      </w:tr>
    </w:tbl>
    <w:p>
      <w:pPr>
        <w:spacing w:after="60" w:line="276"/>
      </w:pPr>
    </w:p>
    <w:p>
      <w:pPr>
        <w:spacing w:after="120" w:line="276"/>
      </w:pPr>
      <w:r>
        <w:rPr>
          <w:rFonts w:ascii="Arial" w:cs="Arial" w:eastAsia="Arial" w:hAnsi="Arial"/>
          <w:sz w:val="19"/>
          <w:szCs w:val="19"/>
        </w:rPr>
        <w:t xml:space="preserve">Plusieurs réponses peuvent être défendables (par exemple B). L’essentiel est la justification : les connaissances qui changent relèvent des documents ; un comportement répété relève de la formation ; une décision de droit reste humaine.</w:t>
      </w:r>
    </w:p>
    <w:p>
      <w:pPr>
        <w:pStyle w:val="Heading2"/>
        <w:keepNext/>
        <w:pageBreakBefore/>
        <w:spacing w:after="100" w:before="220"/>
      </w:pPr>
      <w:r>
        <w:rPr>
          <w:rFonts w:ascii="Arial" w:cs="Arial" w:eastAsia="Arial" w:hAnsi="Arial"/>
          <w:b/>
          <w:bCs/>
          <w:color w:val="006A4E"/>
          <w:sz w:val="24"/>
          <w:szCs w:val="24"/>
        </w:rPr>
        <w:t xml:space="preserve">Corrigé de l’atelier 2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100"/>
        <w:gridCol w:w="5038"/>
      </w:tblGrid>
      <w:tr>
        <w:trPr>
          <w:cantSplit/>
          <w:tblHeader/>
        </w:trP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006A4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N°</w:t>
            </w:r>
          </w:p>
        </w:tc>
        <w:tc>
          <w:tcPr>
            <w:tcW w:type="dxa" w:w="4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006A4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W w:type="dxa" w:w="50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006A4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Diagnostic et correction attendue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4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Où faire vacciner mon bébé ?</w:t>
            </w:r>
          </w:p>
        </w:tc>
        <w:tc>
          <w:tcPr>
            <w:tcW w:type="dxa" w:w="50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Erreur : le message parle de santé.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4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Mon fils a de la fièvre depuis deux jours.</w:t>
            </w:r>
          </w:p>
        </w:tc>
        <w:tc>
          <w:tcPr>
            <w:tcW w:type="dxa" w:w="50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Contradiction avec l’exemple 3.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4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Mon enfant a de la fièvre depuis deux jours.</w:t>
            </w:r>
          </w:p>
        </w:tc>
        <w:tc>
          <w:tcPr>
            <w:tcW w:type="dxa" w:w="50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Contradiction avec l’exemple 2.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4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Je m’appelle K. M., mon numéro est le 90 00 00 00, je suis suivi pour une maladie grave. Où trouver un traitement ?</w:t>
            </w:r>
          </w:p>
        </w:tc>
        <w:tc>
          <w:tcPr>
            <w:tcW w:type="dxa" w:w="50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Données personnelles et de santé non anonymisées.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4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Aide</w:t>
            </w:r>
          </w:p>
        </w:tc>
        <w:tc>
          <w:tcPr>
            <w:tcW w:type="dxa" w:w="50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Trop vague : aucune catégorie ne peut être déduite.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4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Quand commence la rentrée scolaire ?</w:t>
            </w:r>
          </w:p>
        </w:tc>
        <w:tc>
          <w:tcPr>
            <w:tcW w:type="dxa" w:w="50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Exemple correct.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4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Les gens de ce village font toujours de fausses déclarations de naissance.</w:t>
            </w:r>
          </w:p>
        </w:tc>
        <w:tc>
          <w:tcPr>
            <w:tcW w:type="dxa" w:w="50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Préjugé : le modèle apprendrait à soupçonner un groupe.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4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Je veux renouveler mon passeport.</w:t>
            </w:r>
          </w:p>
        </w:tc>
        <w:tc>
          <w:tcPr>
            <w:tcW w:type="dxa" w:w="50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Hors tâche : une catégorie est attendue, pas un message de politesse.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4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ou fer vacsiner mon bebe</w:t>
            </w:r>
          </w:p>
        </w:tc>
        <w:tc>
          <w:tcPr>
            <w:tcW w:type="dxa" w:w="50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Exemple correct : une faute de frappe réaliste, bien étiquetée.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4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Où faire vacciner mon bébé ?</w:t>
            </w:r>
          </w:p>
        </w:tc>
        <w:tc>
          <w:tcPr>
            <w:tcW w:type="dxa" w:w="50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Doublon exact du message de l’exemple 1, mais bien étiqueté (garder un seul des deux).</w:t>
            </w:r>
          </w:p>
        </w:tc>
      </w:tr>
    </w:tbl>
    <w:p>
      <w:pPr>
        <w:spacing w:after="60" w:line="276"/>
      </w:pP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sz w:val="21"/>
          <w:szCs w:val="21"/>
        </w:rPr>
        <w:t xml:space="preserve">Corrections types : remettre la catégorie « santé » en 1 ; garder une seule réponse cohérente pour 2 et 3 (santé) ; anonymiser 4 (retirer le nom, le numéro et la mention de maladie grave, garder « Où trouver un traitement ? ») ; supprimer 5 et 7 ; remplacer la réponse de 8 par « État civil » ; supprimer le doublon 10.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sz w:val="21"/>
          <w:szCs w:val="21"/>
        </w:rPr>
        <w:t xml:space="preserve">Au final, deux exemples seulement étaient bons tels quels (6 et 9) ; après correction, six sur dix sont utilisables. La qualité d’un jeu de données se gagne par la relecture.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sz w:val="21"/>
          <w:szCs w:val="21"/>
        </w:rPr>
        <w:t xml:space="preserve">Message clé : un modèle entraîné sur les dix tels quels apprendrait les erreurs, les contradictions et les préjugés.</w:t>
      </w:r>
    </w:p>
    <w:p>
      <w:pPr>
        <w:pStyle w:val="Heading2"/>
        <w:keepNext/>
        <w:spacing w:after="100" w:before="220"/>
      </w:pPr>
      <w:r>
        <w:rPr>
          <w:rFonts w:ascii="Arial" w:cs="Arial" w:eastAsia="Arial" w:hAnsi="Arial"/>
          <w:b/>
          <w:bCs/>
          <w:color w:val="006A4E"/>
          <w:sz w:val="24"/>
          <w:szCs w:val="24"/>
        </w:rPr>
        <w:t xml:space="preserve">Corrigé de l’atelier 3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sz w:val="21"/>
          <w:szCs w:val="21"/>
        </w:rPr>
        <w:t xml:space="preserve">Question 1 : la réponse de base invente (pharmacies) ; la spécialisée est correcte.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sz w:val="21"/>
          <w:szCs w:val="21"/>
        </w:rPr>
        <w:t xml:space="preserve">Question 2 : la spécialisée est plus utile mais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invente un tarif (2 500 francs)</w:t>
      </w:r>
      <w:r>
        <w:rPr>
          <w:rFonts w:ascii="Arial" w:cs="Arial" w:eastAsia="Arial" w:hAnsi="Arial"/>
          <w:sz w:val="21"/>
          <w:szCs w:val="21"/>
        </w:rPr>
        <w:t xml:space="preserve"> qui n’existe pas dans nos sources. Point central : un modèle spécialisé reste capable d’inventer.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sz w:val="21"/>
          <w:szCs w:val="21"/>
        </w:rPr>
        <w:t xml:space="preserve">Question 3 : la réponse de base invente toute une procédure ; la spécialisée refuse et oriente vers un humain : c’est le comportement souhaité.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sz w:val="21"/>
          <w:szCs w:val="21"/>
        </w:rPr>
        <w:t xml:space="preserve">Question 4 : urgence. La spécialisée réagit correctement ; la réponse de base est dangereuse.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sz w:val="21"/>
          <w:szCs w:val="21"/>
        </w:rPr>
        <w:t xml:space="preserve">Question 5 : le modèle de base ne comprend pas le message avec fautes.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sz w:val="21"/>
          <w:szCs w:val="21"/>
        </w:rPr>
        <w:t xml:space="preserve">Décision attendue : mise en service conditionnelle, avec vérification des informations chiffrées, relecture humaine des cas sensibles et évaluation sur un jeu de test plus large.</w:t>
      </w:r>
    </w:p>
    <w:p>
      <w:pPr>
        <w:pStyle w:val="Heading2"/>
        <w:keepNext/>
        <w:spacing w:after="100" w:before="220"/>
      </w:pPr>
      <w:r>
        <w:rPr>
          <w:rFonts w:ascii="Arial" w:cs="Arial" w:eastAsia="Arial" w:hAnsi="Arial"/>
          <w:b/>
          <w:bCs/>
          <w:color w:val="006A4E"/>
          <w:sz w:val="24"/>
          <w:szCs w:val="24"/>
        </w:rPr>
        <w:t xml:space="preserve">Lien avec le TP IT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Le notebook de la version IT spécialise un petit modèle avec LoRA pour classer des messages d’usagers, puis compare avec une base de référence. Les exemples sont fictifs, comme ici.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B6B66"/>
        <w:sz w:val="16"/>
        <w:szCs w:val="16"/>
      </w:rPr>
      <w:t xml:space="preserve">Togo AI Lab · Formation IA · Module 3 · Atelier non-IT · page </w:t>
    </w:r>
    <w:r>
      <w:rPr>
        <w:rFonts w:ascii="Arial" w:cs="Arial" w:eastAsia="Arial" w:hAnsi="Arial"/>
        <w:color w:val="5B6B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3 · Atelier guidé non-IT</dc:title>
  <dc:creator>Togo AI Lab</dc:creator>
  <cp:lastModifiedBy>Un-named</cp:lastModifiedBy>
  <cp:revision>1</cp:revision>
  <dcterms:created xsi:type="dcterms:W3CDTF">2026-10-19T20:43:27.801Z</dcterms:created>
  <dcterms:modified xsi:type="dcterms:W3CDTF">2026-10-19T20:43:27.802Z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