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B6B66"/>
          <w:sz w:val="18"/>
          <w:szCs w:val="18"/>
        </w:rPr>
        <w:t xml:space="preserve">TOGO AI LAB · FORMATION IA · VERSION NON-IT</w:t>
      </w:r>
    </w:p>
    <w:p>
      <w:pPr>
        <w:spacing w:after="60"/>
      </w:pPr>
      <w:r>
        <w:rPr>
          <w:rFonts w:ascii="Arial" w:cs="Arial" w:eastAsia="Arial" w:hAnsi="Arial"/>
          <w:b/>
          <w:bCs/>
          <w:color w:val="006A4E"/>
          <w:sz w:val="40"/>
          <w:szCs w:val="40"/>
        </w:rPr>
        <w:t xml:space="preserve">Module 4 · NER clinique et OCR</w:t>
      </w:r>
    </w:p>
    <w:p>
      <w:pPr>
        <w:spacing w:after="200"/>
      </w:pPr>
      <w:r>
        <w:rPr>
          <w:rFonts w:ascii="Arial" w:cs="Arial" w:eastAsia="Arial" w:hAnsi="Arial"/>
          <w:color w:val="006A4E"/>
          <w:sz w:val="28"/>
          <w:szCs w:val="28"/>
        </w:rPr>
        <w:t xml:space="preserve">Atelier guidé sans code : « Du dossier papier aux données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Durée</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1 h 15 (trois ateliers), après la présentation du module</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Organisation</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Groupes de 3 ou 4 personnes. Un rapporteur par groupe, désigné à chaque atelier</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Matériel</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Feutres ou surligneurs de cinq couleurs, dossiers imprimés, grandes feuilles, ce livret</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Prérequis</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Aucun : pas d’ordinateur, pas de programmation, pas de calcul</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Données</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Tous les dossiers sont fictifs et ont été inventés pour la formation. Aucun ne provient d’une personne réelle</w:t>
            </w:r>
          </w:p>
        </w:tc>
      </w:tr>
    </w:tbl>
    <w:p>
      <w:pPr>
        <w:spacing w:after="80" w:line="276"/>
      </w:pPr>
    </w:p>
    <w:p>
      <w:pPr>
        <w:spacing w:after="120" w:line="276"/>
      </w:pPr>
      <w:r>
        <w:rPr>
          <w:rFonts w:ascii="Arial" w:cs="Arial" w:eastAsia="Arial" w:hAnsi="Arial"/>
          <w:b/>
          <w:bCs/>
          <w:sz w:val="21"/>
          <w:szCs w:val="21"/>
        </w:rPr>
        <w:t xml:space="preserve">Objectif de l’atelier.</w:t>
      </w:r>
      <w:r>
        <w:rPr>
          <w:rFonts w:ascii="Arial" w:cs="Arial" w:eastAsia="Arial" w:hAnsi="Arial"/>
          <w:sz w:val="21"/>
          <w:szCs w:val="21"/>
        </w:rPr>
        <w:t xml:space="preserve"> Comprendre, en le faisant à la main, comment une machine extrait des informations d’un dossier médical : repérer et étiqueter les éléments importants (NER), lire un document scanné (OCR), et reconnaître les pièges, notamment la négation et les erreurs sur les chiffres. À la fin, vous saurez pourquoi la relecture humaine reste indispensable.</w:t>
      </w:r>
    </w:p>
    <w:p>
      <w:pPr>
        <w:spacing w:after="120" w:line="276"/>
      </w:pPr>
      <w:r>
        <w:rPr>
          <w:rFonts w:ascii="Arial" w:cs="Arial" w:eastAsia="Arial" w:hAnsi="Arial"/>
          <w:b/>
          <w:bCs/>
          <w:sz w:val="21"/>
          <w:szCs w:val="21"/>
        </w:rPr>
        <w:t xml:space="preserve">Règle du jeu.</w:t>
      </w:r>
      <w:r>
        <w:rPr>
          <w:rFonts w:ascii="Arial" w:cs="Arial" w:eastAsia="Arial" w:hAnsi="Arial"/>
          <w:sz w:val="21"/>
          <w:szCs w:val="21"/>
        </w:rPr>
        <w:t xml:space="preserve"> Vous êtes la machine, puis l’expert qui vérifie. Les chiffres (doses, dates, résultats) sont toujours relus deux fois.</w:t>
      </w:r>
    </w:p>
    <w:p>
      <w:pPr>
        <w:pStyle w:val="Heading1"/>
        <w:keepNext/>
        <w:spacing w:after="140" w:before="280"/>
      </w:pPr>
      <w:r>
        <w:rPr>
          <w:rFonts w:ascii="Arial" w:cs="Arial" w:eastAsia="Arial" w:hAnsi="Arial"/>
          <w:b/>
          <w:bCs/>
          <w:color w:val="006A4E"/>
          <w:sz w:val="30"/>
          <w:szCs w:val="30"/>
        </w:rPr>
        <w:t xml:space="preserve">Atelier 1 · Le surligneur (25 min)</w:t>
      </w:r>
    </w:p>
    <w:p>
      <w:pPr>
        <w:spacing w:after="120" w:line="276"/>
      </w:pPr>
      <w:r>
        <w:rPr>
          <w:rFonts w:ascii="Arial" w:cs="Arial" w:eastAsia="Arial" w:hAnsi="Arial"/>
          <w:sz w:val="21"/>
          <w:szCs w:val="21"/>
        </w:rPr>
        <w:t xml:space="preserve">Un dossier médical est un texte libre. Pour en tirer des données, il faut repérer les informations importantes et leur donner une étiquette. Vous allez le faire avec cinq couleurs.</w:t>
      </w:r>
    </w:p>
    <w:p>
      <w:pPr>
        <w:pStyle w:val="Heading2"/>
        <w:keepNext/>
        <w:spacing w:after="100" w:before="220"/>
      </w:pPr>
      <w:r>
        <w:rPr>
          <w:rFonts w:ascii="Arial" w:cs="Arial" w:eastAsia="Arial" w:hAnsi="Arial"/>
          <w:b/>
          <w:bCs/>
          <w:color w:val="006A4E"/>
          <w:sz w:val="24"/>
          <w:szCs w:val="24"/>
        </w:rPr>
        <w:t xml:space="preserve">Code de couleurs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38"/>
      </w:tblGrid>
      <w:tr>
        <w:trPr>
          <w:cantSplit/>
          <w:tblHeader/>
        </w:trPr>
        <w:tc>
          <w:tcPr>
            <w:tcW w:type="dxa" w:w="22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Étiquette</w:t>
            </w:r>
          </w:p>
        </w:tc>
        <w:tc>
          <w:tcPr>
            <w:tcW w:type="dxa" w:w="26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Couleur à utiliser</w:t>
            </w:r>
          </w:p>
        </w:tc>
        <w:tc>
          <w:tcPr>
            <w:tcW w:type="dxa" w:w="48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Ce qu’il faut surligner</w:t>
            </w:r>
          </w:p>
        </w:tc>
      </w:tr>
      <w:tr>
        <w:trPr>
          <w:cantSplit/>
          <w:trHeight w:val="520" w:hRule="atLeas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Problème</w:t>
            </w:r>
          </w:p>
        </w:tc>
        <w:tc>
          <w:tcPr>
            <w:tcW w:type="dxa" w:w="26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Rouge</w:t>
            </w: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Maladie ou symptôme présent</w:t>
            </w:r>
          </w:p>
        </w:tc>
      </w:tr>
      <w:tr>
        <w:trPr>
          <w:cantSplit/>
          <w:trHeight w:val="520" w:hRule="atLeas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Médicament</w:t>
            </w:r>
          </w:p>
        </w:tc>
        <w:tc>
          <w:tcPr>
            <w:tcW w:type="dxa" w:w="26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Vert</w:t>
            </w: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Nom d’un médicament prescrit</w:t>
            </w:r>
          </w:p>
        </w:tc>
      </w:tr>
      <w:tr>
        <w:trPr>
          <w:cantSplit/>
          <w:trHeight w:val="520" w:hRule="atLeas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Dose</w:t>
            </w:r>
          </w:p>
        </w:tc>
        <w:tc>
          <w:tcPr>
            <w:tcW w:type="dxa" w:w="26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Bleu</w:t>
            </w: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Quantité, fréquence ou durée de prise</w:t>
            </w:r>
          </w:p>
        </w:tc>
      </w:tr>
      <w:tr>
        <w:trPr>
          <w:cantSplit/>
          <w:trHeight w:val="520" w:hRule="atLeas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Examen</w:t>
            </w:r>
          </w:p>
        </w:tc>
        <w:tc>
          <w:tcPr>
            <w:tcW w:type="dxa" w:w="26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Orange</w:t>
            </w: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Analyse, mesure ou imagerie</w:t>
            </w:r>
          </w:p>
        </w:tc>
      </w:tr>
      <w:tr>
        <w:trPr>
          <w:cantSplit/>
          <w:trHeight w:val="520" w:hRule="atLeas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Date</w:t>
            </w:r>
          </w:p>
        </w:tc>
        <w:tc>
          <w:tcPr>
            <w:tcW w:type="dxa" w:w="26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Violet</w:t>
            </w: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Jour, durée du suivi ou rendez-vous</w:t>
            </w:r>
          </w:p>
        </w:tc>
      </w:tr>
    </w:tbl>
    <w:p>
      <w:pPr>
        <w:pStyle w:val="Heading2"/>
        <w:keepNext/>
        <w:spacing w:after="100" w:before="220"/>
      </w:pPr>
      <w:r>
        <w:rPr>
          <w:rFonts w:ascii="Arial" w:cs="Arial" w:eastAsia="Arial" w:hAnsi="Arial"/>
          <w:b/>
          <w:bCs/>
          <w:color w:val="006A4E"/>
          <w:sz w:val="24"/>
          <w:szCs w:val="24"/>
        </w:rPr>
        <w:t xml:space="preserve">Consigne</w:t>
      </w:r>
    </w:p>
    <w:p>
      <w:pPr>
        <w:pStyle w:val="ListParagraph"/>
        <w:numPr>
          <w:ilvl w:val="0"/>
          <w:numId w:val="2"/>
        </w:numPr>
        <w:spacing w:after="70" w:line="276"/>
      </w:pPr>
      <w:r>
        <w:rPr>
          <w:rFonts w:ascii="Arial" w:cs="Arial" w:eastAsia="Arial" w:hAnsi="Arial"/>
          <w:sz w:val="21"/>
          <w:szCs w:val="21"/>
        </w:rPr>
        <w:t xml:space="preserve">Lisez chaque dossier en entier avant de surligner.</w:t>
      </w:r>
    </w:p>
    <w:p>
      <w:pPr>
        <w:pStyle w:val="ListParagraph"/>
        <w:numPr>
          <w:ilvl w:val="0"/>
          <w:numId w:val="2"/>
        </w:numPr>
        <w:spacing w:after="70" w:line="276"/>
      </w:pPr>
      <w:r>
        <w:rPr>
          <w:rFonts w:ascii="Arial" w:cs="Arial" w:eastAsia="Arial" w:hAnsi="Arial"/>
          <w:sz w:val="21"/>
          <w:szCs w:val="21"/>
        </w:rPr>
        <w:t xml:space="preserve">Surlignez avec la bonne couleur. </w:t>
      </w:r>
      <w:r>
        <w:rPr>
          <w:rFonts w:ascii="Arial" w:cs="Arial" w:eastAsia="Arial" w:hAnsi="Arial"/>
          <w:b/>
          <w:bCs/>
          <w:sz w:val="21"/>
          <w:szCs w:val="21"/>
        </w:rPr>
        <w:t xml:space="preserve">Barrez</w:t>
      </w:r>
      <w:r>
        <w:rPr>
          <w:rFonts w:ascii="Arial" w:cs="Arial" w:eastAsia="Arial" w:hAnsi="Arial"/>
          <w:sz w:val="21"/>
          <w:szCs w:val="21"/>
        </w:rPr>
        <w:t xml:space="preserve"> (sans surligner) un problème nié (« pas de… ») ou une maladie qui concerne un parent.</w:t>
      </w:r>
    </w:p>
    <w:p>
      <w:pPr>
        <w:pStyle w:val="ListParagraph"/>
        <w:numPr>
          <w:ilvl w:val="0"/>
          <w:numId w:val="2"/>
        </w:numPr>
        <w:spacing w:after="70" w:line="276"/>
      </w:pPr>
      <w:r>
        <w:rPr>
          <w:rFonts w:ascii="Arial" w:cs="Arial" w:eastAsia="Arial" w:hAnsi="Arial"/>
          <w:sz w:val="21"/>
          <w:szCs w:val="21"/>
        </w:rPr>
        <w:t xml:space="preserve">Entourez en noir toute information incertaine (« suspicion de… »).</w:t>
      </w:r>
    </w:p>
    <w:p>
      <w:pPr>
        <w:pStyle w:val="ListParagraph"/>
        <w:numPr>
          <w:ilvl w:val="0"/>
          <w:numId w:val="2"/>
        </w:numPr>
        <w:spacing w:after="70" w:line="276"/>
      </w:pPr>
      <w:r>
        <w:rPr>
          <w:rFonts w:ascii="Arial" w:cs="Arial" w:eastAsia="Arial" w:hAnsi="Arial"/>
          <w:sz w:val="21"/>
          <w:szCs w:val="21"/>
        </w:rPr>
        <w:t xml:space="preserve">Notez en marge les cas où vous hésitez.</w:t>
      </w:r>
    </w:p>
    <w:p>
      <w:pPr>
        <w:pStyle w:val="Heading2"/>
        <w:keepNext/>
        <w:pageBreakBefore/>
        <w:spacing w:after="100" w:before="220"/>
      </w:pPr>
      <w:r>
        <w:rPr>
          <w:rFonts w:ascii="Arial" w:cs="Arial" w:eastAsia="Arial" w:hAnsi="Arial"/>
          <w:b/>
          <w:bCs/>
          <w:color w:val="006A4E"/>
          <w:sz w:val="24"/>
          <w:szCs w:val="24"/>
        </w:rPr>
        <w:t xml:space="preserve">Dossiers à annoter (à découper)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500" w:hRule="atLeast"/>
        </w:trPr>
        <w:tc>
          <w:tcPr>
            <w:tcW w:type="dxa" w:w="9638"/>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Dossier A</w:t>
            </w:r>
          </w:p>
          <w:p>
            <w:r>
              <w:rPr>
                <w:rFonts w:ascii="Arial" w:cs="Arial" w:eastAsia="Arial" w:hAnsi="Arial"/>
                <w:sz w:val="24"/>
                <w:szCs w:val="24"/>
              </w:rPr>
              <w:t xml:space="preserve">Patient 001, 34 ans. Consulte le 12/03/2026 pour fièvre et maux de tête depuis 3 jours. Pas de toux. Goutte épaisse positive : paludisme simple. Traitement : artésunate-amodiaquine pendant 3 jours. Paracétamol 500 mg si douleur, 3 fois par jour. Revoir dans 1 semaine.</w:t>
            </w:r>
          </w:p>
        </w:tc>
      </w:tr>
      <w:tr>
        <w:trPr>
          <w:cantSplit/>
          <w:trHeight w:val="1500" w:hRule="atLeast"/>
        </w:trPr>
        <w:tc>
          <w:tcPr>
            <w:tcW w:type="dxa" w:w="9638"/>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Dossier B</w:t>
            </w:r>
          </w:p>
          <w:p>
            <w:r>
              <w:rPr>
                <w:rFonts w:ascii="Arial" w:cs="Arial" w:eastAsia="Arial" w:hAnsi="Arial"/>
                <w:sz w:val="24"/>
                <w:szCs w:val="24"/>
              </w:rPr>
              <w:t xml:space="preserve">Enfant 002, 4 ans. Diarrhée aiguë depuis 2 jours, avec vomissements. Déshydratation modérée. Sérum de réhydratation orale après chaque selle. Zinc 20 mg par jour pendant 10 jours. Pas de fièvre. Contrôle dans 48 heures.</w:t>
            </w:r>
          </w:p>
        </w:tc>
      </w:tr>
      <w:tr>
        <w:trPr>
          <w:cantSplit/>
          <w:trHeight w:val="1500" w:hRule="atLeast"/>
        </w:trPr>
        <w:tc>
          <w:tcPr>
            <w:tcW w:type="dxa" w:w="9638"/>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Dossier C</w:t>
            </w:r>
          </w:p>
          <w:p>
            <w:r>
              <w:rPr>
                <w:rFonts w:ascii="Arial" w:cs="Arial" w:eastAsia="Arial" w:hAnsi="Arial"/>
                <w:sz w:val="24"/>
                <w:szCs w:val="24"/>
              </w:rPr>
              <w:t xml:space="preserve">Patiente 003, 28 ans, enceinte de 20 semaines. Consultation prénatale le 02/04/2026. Tension artérielle 110/70. Pas d’œdème. Fer et acide folique : un comprimé par jour. Prochaine consultation dans 4 semaines. Antécédent familial de diabète (mère).</w:t>
            </w:r>
          </w:p>
        </w:tc>
      </w:tr>
      <w:tr>
        <w:trPr>
          <w:cantSplit/>
          <w:trHeight w:val="1500" w:hRule="atLeast"/>
        </w:trPr>
        <w:tc>
          <w:tcPr>
            <w:tcW w:type="dxa" w:w="9638"/>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Dossier D</w:t>
            </w:r>
          </w:p>
          <w:p>
            <w:r>
              <w:rPr>
                <w:rFonts w:ascii="Arial" w:cs="Arial" w:eastAsia="Arial" w:hAnsi="Arial"/>
                <w:sz w:val="24"/>
                <w:szCs w:val="24"/>
              </w:rPr>
              <w:t xml:space="preserve">Patient 004, 58 ans. Hypertension connue depuis 5 ans. Suspicion de diabète, glycémie à contrôler. Amlodipine 5 mg le matin. Pas d’allergie connue. Ne présente pas de douleur dans la poitrine.</w:t>
            </w:r>
          </w:p>
        </w:tc>
      </w:tr>
    </w:tbl>
    <w:p>
      <w:pPr>
        <w:spacing w:after="8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738"/>
      </w:tblGrid>
      <w:tr>
        <w:trPr>
          <w:cantSplit/>
          <w:tblHeader/>
        </w:trPr>
        <w:tc>
          <w:tcPr>
            <w:tcW w:type="dxa" w:w="17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Dossier</w:t>
            </w:r>
          </w:p>
        </w:tc>
        <w:tc>
          <w:tcPr>
            <w:tcW w:type="dxa" w:w="24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Problèmes présents</w:t>
            </w:r>
          </w:p>
        </w:tc>
        <w:tc>
          <w:tcPr>
            <w:tcW w:type="dxa" w:w="28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Problèmes niés ou d’un parent</w:t>
            </w:r>
          </w:p>
        </w:tc>
        <w:tc>
          <w:tcPr>
            <w:tcW w:type="dxa" w:w="27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Cas qui m’ont fait hésiter</w:t>
            </w:r>
          </w:p>
        </w:tc>
      </w:tr>
      <w:tr>
        <w:trPr>
          <w:cantSplit/>
          <w:trHeight w:val="700" w:hRule="atLeast"/>
        </w:trPr>
        <w:tc>
          <w:tcPr>
            <w:tcW w:type="dxa" w:w="1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7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700" w:hRule="atLeast"/>
        </w:trPr>
        <w:tc>
          <w:tcPr>
            <w:tcW w:type="dxa" w:w="1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B</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7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700" w:hRule="atLeast"/>
        </w:trPr>
        <w:tc>
          <w:tcPr>
            <w:tcW w:type="dxa" w:w="1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C</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7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700" w:hRule="atLeast"/>
        </w:trPr>
        <w:tc>
          <w:tcPr>
            <w:tcW w:type="dxa" w:w="1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8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7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bl>
    <w:p>
      <w:pPr>
        <w:pStyle w:val="Heading1"/>
        <w:keepNext/>
        <w:pageBreakBefore/>
        <w:spacing w:after="140" w:before="280"/>
      </w:pPr>
      <w:r>
        <w:rPr>
          <w:rFonts w:ascii="Arial" w:cs="Arial" w:eastAsia="Arial" w:hAnsi="Arial"/>
          <w:b/>
          <w:bCs/>
          <w:color w:val="006A4E"/>
          <w:sz w:val="30"/>
          <w:szCs w:val="30"/>
        </w:rPr>
        <w:t xml:space="preserve">Atelier 2 · Lire comme l’OCR (25 min)</w:t>
      </w:r>
    </w:p>
    <w:p>
      <w:pPr>
        <w:spacing w:after="120" w:line="276"/>
      </w:pPr>
      <w:r>
        <w:rPr>
          <w:rFonts w:ascii="Arial" w:cs="Arial" w:eastAsia="Arial" w:hAnsi="Arial"/>
          <w:sz w:val="21"/>
          <w:szCs w:val="21"/>
        </w:rPr>
        <w:t xml:space="preserve">Un scanner « lit » un document en reconnaissant les lettres une à une. Il se trompe de façon typique : il confond la lettre O et le zéro, le l et le 1, rn et m, et perd des accents. Voici huit lignes telles que l’OCR les a lues.</w:t>
      </w:r>
    </w:p>
    <w:p>
      <w:pPr>
        <w:pStyle w:val="Heading2"/>
        <w:keepNext/>
        <w:spacing w:after="100" w:before="220"/>
      </w:pPr>
      <w:r>
        <w:rPr>
          <w:rFonts w:ascii="Arial" w:cs="Arial" w:eastAsia="Arial" w:hAnsi="Arial"/>
          <w:b/>
          <w:bCs/>
          <w:color w:val="006A4E"/>
          <w:sz w:val="24"/>
          <w:szCs w:val="24"/>
        </w:rPr>
        <w:t xml:space="preserve">Consigne</w:t>
      </w:r>
    </w:p>
    <w:p>
      <w:pPr>
        <w:pStyle w:val="ListParagraph"/>
        <w:numPr>
          <w:ilvl w:val="0"/>
          <w:numId w:val="2"/>
        </w:numPr>
        <w:spacing w:after="70" w:line="276"/>
      </w:pPr>
      <w:r>
        <w:rPr>
          <w:rFonts w:ascii="Arial" w:cs="Arial" w:eastAsia="Arial" w:hAnsi="Arial"/>
          <w:sz w:val="21"/>
          <w:szCs w:val="21"/>
        </w:rPr>
        <w:t xml:space="preserve">Retrouvez le texte d’origine et écrivez-le dans la colonne « Correction ».</w:t>
      </w:r>
    </w:p>
    <w:p>
      <w:pPr>
        <w:pStyle w:val="ListParagraph"/>
        <w:numPr>
          <w:ilvl w:val="0"/>
          <w:numId w:val="2"/>
        </w:numPr>
        <w:spacing w:after="70" w:line="276"/>
      </w:pPr>
      <w:r>
        <w:rPr>
          <w:rFonts w:ascii="Arial" w:cs="Arial" w:eastAsia="Arial" w:hAnsi="Arial"/>
          <w:sz w:val="21"/>
          <w:szCs w:val="21"/>
        </w:rPr>
        <w:t xml:space="preserve">Nommez le type d’erreur.</w:t>
      </w:r>
    </w:p>
    <w:p>
      <w:pPr>
        <w:pStyle w:val="ListParagraph"/>
        <w:numPr>
          <w:ilvl w:val="0"/>
          <w:numId w:val="2"/>
        </w:numPr>
        <w:spacing w:after="70" w:line="276"/>
      </w:pPr>
      <w:r>
        <w:rPr>
          <w:rFonts w:ascii="Arial" w:cs="Arial" w:eastAsia="Arial" w:hAnsi="Arial"/>
          <w:sz w:val="21"/>
          <w:szCs w:val="21"/>
        </w:rPr>
        <w:t xml:space="preserve">Cochez les erreurs </w:t>
      </w:r>
      <w:r>
        <w:rPr>
          <w:rFonts w:ascii="Arial" w:cs="Arial" w:eastAsia="Arial" w:hAnsi="Arial"/>
          <w:b/>
          <w:bCs/>
          <w:sz w:val="21"/>
          <w:szCs w:val="21"/>
        </w:rPr>
        <w:t xml:space="preserve">critiques</w:t>
      </w:r>
      <w:r>
        <w:rPr>
          <w:rFonts w:ascii="Arial" w:cs="Arial" w:eastAsia="Arial" w:hAnsi="Arial"/>
          <w:sz w:val="21"/>
          <w:szCs w:val="21"/>
        </w:rPr>
        <w:t xml:space="preserve"> : celles qui changent une dose, une date ou un 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2900"/>
        <w:gridCol w:w="1900"/>
        <w:gridCol w:w="1088"/>
      </w:tblGrid>
      <w:tr>
        <w:trPr>
          <w:cantSplit/>
          <w:tblHeader/>
        </w:trPr>
        <w:tc>
          <w:tcPr>
            <w:tcW w:type="dxa" w:w="45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33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Texte lu par l’OCR</w:t>
            </w:r>
          </w:p>
        </w:tc>
        <w:tc>
          <w:tcPr>
            <w:tcW w:type="dxa" w:w="29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Correction</w:t>
            </w:r>
          </w:p>
        </w:tc>
        <w:tc>
          <w:tcPr>
            <w:tcW w:type="dxa" w:w="19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Type d’erreur</w:t>
            </w:r>
          </w:p>
        </w:tc>
        <w:tc>
          <w:tcPr>
            <w:tcW w:type="dxa" w:w="108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Critique ?</w:t>
            </w: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Paracétam0l 5OO mg, 3 f0is par jour</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0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2</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Pa1udisme simple, g0utte épaisse p0sitive</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0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3</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Revoir dans 1 sernaine</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0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4</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Zinc 2O mg par jour pendant lO jours</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0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5</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Tension arterielle 1l0/7O</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0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6</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Amlodipine 5 rng le matin</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0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7</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Consultation prenatale le O2/O4/2O26</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0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8</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Fer et acide folique : un comprimé parjour</w:t>
            </w:r>
          </w:p>
        </w:tc>
        <w:tc>
          <w:tcPr>
            <w:tcW w:type="dxa" w:w="2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0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bl>
    <w:p>
      <w:pPr>
        <w:spacing w:after="80" w:line="276"/>
      </w:pPr>
    </w:p>
    <w:p>
      <w:pPr>
        <w:pStyle w:val="Heading2"/>
        <w:keepNext/>
        <w:spacing w:after="100" w:before="220"/>
      </w:pPr>
      <w:r>
        <w:rPr>
          <w:rFonts w:ascii="Arial" w:cs="Arial" w:eastAsia="Arial" w:hAnsi="Arial"/>
          <w:b/>
          <w:bCs/>
          <w:color w:val="006A4E"/>
          <w:sz w:val="24"/>
          <w:szCs w:val="24"/>
        </w:rPr>
        <w:t xml:space="preserve">Discussion</w:t>
      </w:r>
    </w:p>
    <w:p>
      <w:pPr>
        <w:pStyle w:val="ListParagraph"/>
        <w:numPr>
          <w:ilvl w:val="0"/>
          <w:numId w:val="2"/>
        </w:numPr>
        <w:spacing w:after="70" w:line="276"/>
      </w:pPr>
      <w:r>
        <w:rPr>
          <w:rFonts w:ascii="Arial" w:cs="Arial" w:eastAsia="Arial" w:hAnsi="Arial"/>
          <w:sz w:val="21"/>
          <w:szCs w:val="21"/>
        </w:rPr>
        <w:t xml:space="preserve">Quelles erreurs une personne remarque-t-elle immédiatement ? Lesquelles passent inaperçues ?</w:t>
      </w:r>
    </w:p>
    <w:p>
      <w:pPr>
        <w:pStyle w:val="ListParagraph"/>
        <w:numPr>
          <w:ilvl w:val="0"/>
          <w:numId w:val="2"/>
        </w:numPr>
        <w:spacing w:after="70" w:line="276"/>
      </w:pPr>
      <w:r>
        <w:rPr>
          <w:rFonts w:ascii="Arial" w:cs="Arial" w:eastAsia="Arial" w:hAnsi="Arial"/>
          <w:sz w:val="21"/>
          <w:szCs w:val="21"/>
        </w:rPr>
        <w:t xml:space="preserve">Que se passerait-il si la ligne 4 était enregistrée telle quelle dans un registre ?</w:t>
      </w:r>
    </w:p>
    <w:p>
      <w:pPr>
        <w:pStyle w:val="ListParagraph"/>
        <w:numPr>
          <w:ilvl w:val="0"/>
          <w:numId w:val="2"/>
        </w:numPr>
        <w:spacing w:after="70" w:line="276"/>
      </w:pPr>
      <w:r>
        <w:rPr>
          <w:rFonts w:ascii="Arial" w:cs="Arial" w:eastAsia="Arial" w:hAnsi="Arial"/>
          <w:sz w:val="21"/>
          <w:szCs w:val="21"/>
        </w:rPr>
        <w:t xml:space="preserve">Quelles précautions mettre en place pour les chiffres ?</w:t>
      </w:r>
    </w:p>
    <w:p>
      <w:pPr>
        <w:pStyle w:val="Heading1"/>
        <w:keepNext/>
        <w:pageBreakBefore/>
        <w:spacing w:after="140" w:before="280"/>
      </w:pPr>
      <w:r>
        <w:rPr>
          <w:rFonts w:ascii="Arial" w:cs="Arial" w:eastAsia="Arial" w:hAnsi="Arial"/>
          <w:b/>
          <w:bCs/>
          <w:color w:val="006A4E"/>
          <w:sz w:val="30"/>
          <w:szCs w:val="30"/>
        </w:rPr>
        <w:t xml:space="preserve">Atelier 3 · Du texte à la fiche (25 min)</w:t>
      </w:r>
    </w:p>
    <w:p>
      <w:pPr>
        <w:spacing w:after="120" w:line="276"/>
      </w:pPr>
      <w:r>
        <w:rPr>
          <w:rFonts w:ascii="Arial" w:cs="Arial" w:eastAsia="Arial" w:hAnsi="Arial"/>
          <w:sz w:val="21"/>
          <w:szCs w:val="21"/>
        </w:rPr>
        <w:t xml:space="preserve">Un registre se remplit avec des cases précises. Remplissez une fiche à partir des dossiers C et D de l’atelier 1, comme le ferait un système d’extraction. Respectez la négation, l’incertitude et la personne concernée.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69"/>
        <w:gridCol w:w="3469"/>
      </w:tblGrid>
      <w:tr>
        <w:trPr>
          <w:cantSplit/>
          <w:tblHeader/>
        </w:trPr>
        <w:tc>
          <w:tcPr>
            <w:tcW w:type="dxa" w:w="27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Champ</w:t>
            </w:r>
          </w:p>
        </w:tc>
        <w:tc>
          <w:tcPr>
            <w:tcW w:type="dxa" w:w="3469"/>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Dossier C</w:t>
            </w:r>
          </w:p>
        </w:tc>
        <w:tc>
          <w:tcPr>
            <w:tcW w:type="dxa" w:w="3469"/>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Dossier D</w:t>
            </w:r>
          </w:p>
        </w:tc>
      </w:tr>
      <w:tr>
        <w:trPr>
          <w:cantSplit/>
          <w:trHeight w:val="560" w:hRule="atLeas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Âge</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560" w:hRule="atLeas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Problèmes présents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560" w:hRule="atLeas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Problèmes niés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560" w:hRule="atLeas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Problèmes incertains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560" w:hRule="atLeas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Antécédents (de qui ?)</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560" w:hRule="atLeas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Examens réalisés ou à faire</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560" w:hRule="atLeas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Médicaments et doses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560" w:hRule="atLeas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Prochain rendez-vous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bl>
    <w:p>
      <w:pPr>
        <w:spacing w:after="100" w:line="276"/>
      </w:pPr>
    </w:p>
    <w:p>
      <w:pPr>
        <w:pStyle w:val="Heading2"/>
        <w:keepNext/>
        <w:spacing w:after="100" w:before="220"/>
      </w:pPr>
      <w:r>
        <w:rPr>
          <w:rFonts w:ascii="Arial" w:cs="Arial" w:eastAsia="Arial" w:hAnsi="Arial"/>
          <w:b/>
          <w:bCs/>
          <w:color w:val="006A4E"/>
          <w:sz w:val="24"/>
          <w:szCs w:val="24"/>
        </w:rPr>
        <w:t xml:space="preserve">Discussion collective</w:t>
      </w:r>
    </w:p>
    <w:p>
      <w:pPr>
        <w:pStyle w:val="ListParagraph"/>
        <w:numPr>
          <w:ilvl w:val="0"/>
          <w:numId w:val="2"/>
        </w:numPr>
        <w:spacing w:after="70" w:line="276"/>
      </w:pPr>
      <w:r>
        <w:rPr>
          <w:rFonts w:ascii="Arial" w:cs="Arial" w:eastAsia="Arial" w:hAnsi="Arial"/>
          <w:sz w:val="21"/>
          <w:szCs w:val="21"/>
        </w:rPr>
        <w:t xml:space="preserve">Quels champs étaient les plus difficiles à remplir ? Pourquoi une machine s’y tromperait-elle ?</w:t>
      </w:r>
    </w:p>
    <w:p>
      <w:pPr>
        <w:pStyle w:val="ListParagraph"/>
        <w:numPr>
          <w:ilvl w:val="0"/>
          <w:numId w:val="2"/>
        </w:numPr>
        <w:spacing w:after="70" w:line="276"/>
      </w:pPr>
      <w:r>
        <w:rPr>
          <w:rFonts w:ascii="Arial" w:cs="Arial" w:eastAsia="Arial" w:hAnsi="Arial"/>
          <w:sz w:val="21"/>
          <w:szCs w:val="21"/>
        </w:rPr>
        <w:t xml:space="preserve">Qui doit relire la fiche avant qu’elle soit enregistrée ?</w:t>
      </w:r>
    </w:p>
    <w:p>
      <w:pPr>
        <w:pStyle w:val="ListParagraph"/>
        <w:numPr>
          <w:ilvl w:val="0"/>
          <w:numId w:val="2"/>
        </w:numPr>
        <w:spacing w:after="70" w:line="276"/>
      </w:pPr>
      <w:r>
        <w:rPr>
          <w:rFonts w:ascii="Arial" w:cs="Arial" w:eastAsia="Arial" w:hAnsi="Arial"/>
          <w:sz w:val="21"/>
          <w:szCs w:val="21"/>
        </w:rPr>
        <w:t xml:space="preserve">Quelles protections pour des dossiers réels : autorisation, anonymisation, hébergement, traçabilité ?</w:t>
      </w:r>
    </w:p>
    <w:p>
      <w:pPr>
        <w:spacing w:after="80" w:line="276"/>
      </w:pPr>
    </w:p>
    <w:p>
      <w:pPr>
        <w:spacing w:after="120" w:line="276"/>
      </w:pPr>
      <w:r>
        <w:rPr>
          <w:rFonts w:ascii="Arial" w:cs="Arial" w:eastAsia="Arial" w:hAnsi="Arial"/>
          <w:b/>
          <w:bCs/>
          <w:sz w:val="21"/>
          <w:szCs w:val="21"/>
        </w:rPr>
        <w:t xml:space="preserve">Ce que nous retenons :</w:t>
      </w:r>
      <w:r>
        <w:rPr>
          <w:rFonts w:ascii="Arial" w:cs="Arial" w:eastAsia="Arial" w:hAnsi="Arial"/>
          <w:sz w:val="21"/>
          <w:szCs w:val="21"/>
        </w:rPr>
        <w:t xml:space="preserve"> une machine peut repérer et classer des informations dans des dossiers et lire des documents scannés. Elle se trompe sur la négation, l’incertitude, les abréviations et les chiffres : la relecture humaine reste indispensable, surtout pour les données de santé.</w:t>
      </w:r>
    </w:p>
    <w:p>
      <w:pPr>
        <w:pageBreakBefore/>
        <w:spacing w:after="60"/>
      </w:pPr>
      <w:r>
        <w:rPr>
          <w:rFonts w:ascii="Arial" w:cs="Arial" w:eastAsia="Arial" w:hAnsi="Arial"/>
          <w:b/>
          <w:bCs/>
          <w:color w:val="5B6B66"/>
          <w:sz w:val="18"/>
          <w:szCs w:val="18"/>
        </w:rPr>
        <w:t xml:space="preserve">PARTIE RÉSERVÉE AU FORMATEUR · NE PAS DISTRIBUER</w:t>
      </w:r>
    </w:p>
    <w:p>
      <w:pPr>
        <w:pStyle w:val="Heading1"/>
        <w:keepNext/>
        <w:spacing w:after="140" w:before="280"/>
      </w:pPr>
      <w:r>
        <w:rPr>
          <w:rFonts w:ascii="Arial" w:cs="Arial" w:eastAsia="Arial" w:hAnsi="Arial"/>
          <w:b/>
          <w:bCs/>
          <w:color w:val="006A4E"/>
          <w:sz w:val="30"/>
          <w:szCs w:val="30"/>
        </w:rPr>
        <w:t xml:space="preserve">Guide d’animation et corrigé</w:t>
      </w:r>
    </w:p>
    <w:p>
      <w:pPr>
        <w:pStyle w:val="Heading2"/>
        <w:keepNext/>
        <w:spacing w:after="100" w:before="220"/>
      </w:pPr>
      <w:r>
        <w:rPr>
          <w:rFonts w:ascii="Arial" w:cs="Arial" w:eastAsia="Arial" w:hAnsi="Arial"/>
          <w:b/>
          <w:bCs/>
          <w:color w:val="006A4E"/>
          <w:sz w:val="24"/>
          <w:szCs w:val="24"/>
        </w:rPr>
        <w:t xml:space="preserve">Déroulé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7038"/>
      </w:tblGrid>
      <w:tr>
        <w:trPr>
          <w:cantSplit/>
          <w:tblHeader/>
        </w:trPr>
        <w:tc>
          <w:tcPr>
            <w:tcW w:type="dxa" w:w="1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Moment</w:t>
            </w:r>
          </w:p>
        </w:tc>
        <w:tc>
          <w:tcPr>
            <w:tcW w:type="dxa" w:w="11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Durée</w:t>
            </w:r>
          </w:p>
        </w:tc>
        <w:tc>
          <w:tcPr>
            <w:tcW w:type="dxa" w:w="70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Animation</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Accueil</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Rappeler que les dossiers sont fictifs et que les données de santé exigent un cadre strict. Présenter les cinq couleurs.</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1</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25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10 min d’annotation individuelle, 10 min de comparaison en groupe, 5 min de mise en commun. Chercher les désaccords : ce sont des cas limites.</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2</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25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Faire corriger sans montrer la solution. Insister sur les erreurs critiques (lignes 1, 4, 5, 7).</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3</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25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Chaque groupe présente une fiche. Mettre en évidence les négations et l’antécédent familial.</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Clôture</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Lien avec le TP IT : « ce que vous avez fait à la main, le notebook le fait avec des règles et un petit modèle, puis avec un OCR. »</w:t>
            </w:r>
          </w:p>
        </w:tc>
      </w:tr>
    </w:tbl>
    <w:p>
      <w:pPr>
        <w:pStyle w:val="Heading2"/>
        <w:keepNext/>
        <w:spacing w:after="100" w:before="220"/>
      </w:pPr>
      <w:r>
        <w:rPr>
          <w:rFonts w:ascii="Arial" w:cs="Arial" w:eastAsia="Arial" w:hAnsi="Arial"/>
          <w:b/>
          <w:bCs/>
          <w:color w:val="006A4E"/>
          <w:sz w:val="24"/>
          <w:szCs w:val="24"/>
        </w:rPr>
        <w:t xml:space="preserve">Corrigé de l’atelier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blHeader/>
        </w:trPr>
        <w:tc>
          <w:tcPr>
            <w:tcW w:type="dxa" w:w="11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Dossier</w:t>
            </w:r>
          </w:p>
        </w:tc>
        <w:tc>
          <w:tcPr>
            <w:tcW w:type="dxa" w:w="85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Entités attendues (exemples)</w:t>
            </w:r>
          </w:p>
        </w:tc>
      </w:tr>
      <w:tr>
        <w:trPr>
          <w:cantSplit/>
        </w:trPr>
        <w:tc>
          <w:tcPr>
            <w:tcW w:type="dxa" w:w="11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A</w:t>
            </w:r>
          </w:p>
        </w:tc>
        <w:tc>
          <w:tcPr>
            <w:tcW w:type="dxa" w:w="8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Problèmes présents : fièvre, maux de tête, paludisme simple. Nié : toux. Examen : goutte épaisse. Médicaments : artésunate-amodiaquine, paracétamol. Doses : 3 jours, 500 mg, 3 fois par jour. Dates : 12/03/2026, 3 jours, 1 semaine.</w:t>
            </w:r>
          </w:p>
        </w:tc>
      </w:tr>
      <w:tr>
        <w:trPr>
          <w:cantSplit/>
        </w:trPr>
        <w:tc>
          <w:tcPr>
            <w:tcW w:type="dxa" w:w="11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B</w:t>
            </w:r>
          </w:p>
        </w:tc>
        <w:tc>
          <w:tcPr>
            <w:tcW w:type="dxa" w:w="8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Problèmes présents : diarrhée aiguë, vomissements, déshydratation modérée. Nié : fièvre. Médicaments : sérum de réhydratation orale, zinc. Doses : 20 mg par jour, 10 jours. Date : contrôle dans 48 heures.</w:t>
            </w:r>
          </w:p>
        </w:tc>
      </w:tr>
      <w:tr>
        <w:trPr>
          <w:cantSplit/>
        </w:trPr>
        <w:tc>
          <w:tcPr>
            <w:tcW w:type="dxa" w:w="11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C</w:t>
            </w:r>
          </w:p>
        </w:tc>
        <w:tc>
          <w:tcPr>
            <w:tcW w:type="dxa" w:w="8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Problème : grossesse de 20 semaines (état). Niés : œdème. Antécédent d’un parent : diabète de la mère. Examen : tension artérielle 110/70. Médicaments : fer, acide folique ; dose : un comprimé par jour. Dates : 02/04/2026, prochaine consultation dans 4 semaines.</w:t>
            </w:r>
          </w:p>
        </w:tc>
      </w:tr>
      <w:tr>
        <w:trPr>
          <w:cantSplit/>
        </w:trPr>
        <w:tc>
          <w:tcPr>
            <w:tcW w:type="dxa" w:w="11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D</w:t>
            </w:r>
          </w:p>
        </w:tc>
        <w:tc>
          <w:tcPr>
            <w:tcW w:type="dxa" w:w="8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Problèmes présents : hypertension (connue depuis 5 ans). Incertain : diabète (suspicion). Niés : allergie connue, douleur dans la poitrine. Examen à faire : glycémie. Médicament : amlodipine, dose : 5 mg le matin.</w:t>
            </w:r>
          </w:p>
        </w:tc>
      </w:tr>
    </w:tbl>
    <w:p>
      <w:pPr>
        <w:spacing w:after="60" w:line="276"/>
      </w:pPr>
    </w:p>
    <w:p>
      <w:pPr>
        <w:spacing w:after="120" w:line="276"/>
      </w:pPr>
      <w:r>
        <w:rPr>
          <w:rFonts w:ascii="Arial" w:cs="Arial" w:eastAsia="Arial" w:hAnsi="Arial"/>
          <w:sz w:val="19"/>
          <w:szCs w:val="19"/>
        </w:rPr>
        <w:t xml:space="preserve">Il n’existe pas une seule annotation correcte : « grossesse », « déshydratation » ou « maux de tête » peuvent être traités différemment selon le guide. L’important est de faire expliciter les règles.</w:t>
      </w:r>
    </w:p>
    <w:p>
      <w:pPr>
        <w:pStyle w:val="Heading2"/>
        <w:keepNext/>
        <w:pageBreakBefore/>
        <w:spacing w:after="100" w:before="220"/>
      </w:pPr>
      <w:r>
        <w:rPr>
          <w:rFonts w:ascii="Arial" w:cs="Arial" w:eastAsia="Arial" w:hAnsi="Arial"/>
          <w:b/>
          <w:bCs/>
          <w:color w:val="006A4E"/>
          <w:sz w:val="24"/>
          <w:szCs w:val="24"/>
        </w:rPr>
        <w:t xml:space="preserve">Corrigé de l’atelier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3200"/>
        <w:gridCol w:w="2688"/>
      </w:tblGrid>
      <w:tr>
        <w:trPr>
          <w:cantSplit/>
          <w:tblHeader/>
        </w:trPr>
        <w:tc>
          <w:tcPr>
            <w:tcW w:type="dxa" w:w="45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33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Texte lu</w:t>
            </w:r>
          </w:p>
        </w:tc>
        <w:tc>
          <w:tcPr>
            <w:tcW w:type="dxa" w:w="32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Correction</w:t>
            </w:r>
          </w:p>
        </w:tc>
        <w:tc>
          <w:tcPr>
            <w:tcW w:type="dxa" w:w="268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Type d’erreur</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1</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Paracétam0l 5OO mg, 3 f0is par jour</w:t>
            </w:r>
          </w:p>
        </w:tc>
        <w:tc>
          <w:tcPr>
            <w:tcW w:type="dxa" w:w="3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Paracétamol 500 mg, 3 fois par jour</w:t>
            </w:r>
          </w:p>
        </w:tc>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Lettre O pour zéro (4 fois). Critique : la dose.</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2</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Pa1udisme simple, g0utte épaisse p0sitive</w:t>
            </w:r>
          </w:p>
        </w:tc>
        <w:tc>
          <w:tcPr>
            <w:tcW w:type="dxa" w:w="3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Paludisme simple, goutte épaisse positive</w:t>
            </w:r>
          </w:p>
        </w:tc>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Chiffres pour lettres : 1 pour l, 0 pour o.</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3</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Revoir dans 1 sernaine</w:t>
            </w:r>
          </w:p>
        </w:tc>
        <w:tc>
          <w:tcPr>
            <w:tcW w:type="dxa" w:w="3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Revoir dans 1 semaine</w:t>
            </w:r>
          </w:p>
        </w:tc>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rn lu à la place de m.</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4</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Zinc 2O mg par jour pendant lO jours</w:t>
            </w:r>
          </w:p>
        </w:tc>
        <w:tc>
          <w:tcPr>
            <w:tcW w:type="dxa" w:w="3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Zinc 20 mg par jour pendant 10 jours</w:t>
            </w:r>
          </w:p>
        </w:tc>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O pour 0 et l pour 1 : dose et durée. Critique.</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5</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Tension arterielle 1l0/7O</w:t>
            </w:r>
          </w:p>
        </w:tc>
        <w:tc>
          <w:tcPr>
            <w:tcW w:type="dxa" w:w="3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Tension artérielle 110/70</w:t>
            </w:r>
          </w:p>
        </w:tc>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Accent perdu, l pour 1, O pour 0. Critique : le résultat.</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6</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Amlodipine 5 rng le matin</w:t>
            </w:r>
          </w:p>
        </w:tc>
        <w:tc>
          <w:tcPr>
            <w:tcW w:type="dxa" w:w="3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Amlodipine 5 mg le matin</w:t>
            </w:r>
          </w:p>
        </w:tc>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 lu rn : l’unité devient illisible.</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7</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Consultation prenatale le O2/O4/2O26</w:t>
            </w:r>
          </w:p>
        </w:tc>
        <w:tc>
          <w:tcPr>
            <w:tcW w:type="dxa" w:w="3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Consultation prénatale le 02/04/2026</w:t>
            </w:r>
          </w:p>
        </w:tc>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Accent perdu et O pour 0 dans la date. Critique : la date.</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8</w:t>
            </w:r>
          </w:p>
        </w:tc>
        <w:tc>
          <w:tcPr>
            <w:tcW w:type="dxa" w:w="3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Fer et acide folique : un comprimé parjour</w:t>
            </w:r>
          </w:p>
        </w:tc>
        <w:tc>
          <w:tcPr>
            <w:tcW w:type="dxa" w:w="3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Fer et acide folique : un comprimé par jour</w:t>
            </w:r>
          </w:p>
        </w:tc>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Espace perdu entre deux mots.</w:t>
            </w:r>
          </w:p>
        </w:tc>
      </w:tr>
    </w:tbl>
    <w:p>
      <w:pPr>
        <w:spacing w:after="60" w:line="276"/>
      </w:pPr>
    </w:p>
    <w:p>
      <w:pPr>
        <w:pStyle w:val="ListParagraph"/>
        <w:numPr>
          <w:ilvl w:val="0"/>
          <w:numId w:val="2"/>
        </w:numPr>
        <w:spacing w:after="70" w:line="276"/>
      </w:pPr>
      <w:r>
        <w:rPr>
          <w:rFonts w:ascii="Arial" w:cs="Arial" w:eastAsia="Arial" w:hAnsi="Arial"/>
          <w:sz w:val="21"/>
          <w:szCs w:val="21"/>
        </w:rPr>
        <w:t xml:space="preserve">Les erreurs critiques portent sur des chiffres : 1, 4, 5 et 7. La ligne 4 enregistrée telle quelle donnerait une dose et une durée illisibles.</w:t>
      </w:r>
    </w:p>
    <w:p>
      <w:pPr>
        <w:pStyle w:val="ListParagraph"/>
        <w:numPr>
          <w:ilvl w:val="0"/>
          <w:numId w:val="2"/>
        </w:numPr>
        <w:spacing w:after="70" w:line="276"/>
      </w:pPr>
      <w:r>
        <w:rPr>
          <w:rFonts w:ascii="Arial" w:cs="Arial" w:eastAsia="Arial" w:hAnsi="Arial"/>
          <w:sz w:val="21"/>
          <w:szCs w:val="21"/>
        </w:rPr>
        <w:t xml:space="preserve">Parades : valider les formats (une dose attendue est un nombre suivi d’une unité), signaler les valeurs douteuses, relire les chiffres à deux personnes.</w:t>
      </w:r>
    </w:p>
    <w:p>
      <w:pPr>
        <w:pStyle w:val="Heading2"/>
        <w:keepNext/>
        <w:spacing w:after="100" w:before="220"/>
      </w:pPr>
      <w:r>
        <w:rPr>
          <w:rFonts w:ascii="Arial" w:cs="Arial" w:eastAsia="Arial" w:hAnsi="Arial"/>
          <w:b/>
          <w:bCs/>
          <w:color w:val="006A4E"/>
          <w:sz w:val="24"/>
          <w:szCs w:val="24"/>
        </w:rPr>
        <w:t xml:space="preserve">Corrigé de l’atelier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69"/>
        <w:gridCol w:w="3469"/>
      </w:tblGrid>
      <w:tr>
        <w:trPr>
          <w:cantSplit/>
          <w:tblHeader/>
        </w:trPr>
        <w:tc>
          <w:tcPr>
            <w:tcW w:type="dxa" w:w="27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Champ</w:t>
            </w:r>
          </w:p>
        </w:tc>
        <w:tc>
          <w:tcPr>
            <w:tcW w:type="dxa" w:w="3469"/>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Dossier C</w:t>
            </w:r>
          </w:p>
        </w:tc>
        <w:tc>
          <w:tcPr>
            <w:tcW w:type="dxa" w:w="3469"/>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Dossier D</w:t>
            </w:r>
          </w:p>
        </w:tc>
      </w:tr>
      <w:tr>
        <w:trPr>
          <w:cantSpli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Âge</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28 ans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58 ans</w:t>
            </w:r>
          </w:p>
        </w:tc>
      </w:tr>
      <w:tr>
        <w:trPr>
          <w:cantSpli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Problèmes présents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Grossesse de 20 semaines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Hypertension connue depuis 5 ans</w:t>
            </w:r>
          </w:p>
        </w:tc>
      </w:tr>
      <w:tr>
        <w:trPr>
          <w:cantSpli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Problèmes niés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Œdème</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Allergie connue ; douleur dans la poitrine</w:t>
            </w:r>
          </w:p>
        </w:tc>
      </w:tr>
      <w:tr>
        <w:trPr>
          <w:cantSpli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Problèmes incertains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Aucun</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Diabète (suspicion)</w:t>
            </w:r>
          </w:p>
        </w:tc>
      </w:tr>
      <w:tr>
        <w:trPr>
          <w:cantSpli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Antécédents (de qui ?)</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Diabète, de la mère</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Aucun noté</w:t>
            </w:r>
          </w:p>
        </w:tc>
      </w:tr>
      <w:tr>
        <w:trPr>
          <w:cantSpli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Examens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Tension artérielle 110/70</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Glycémie à contrôler</w:t>
            </w:r>
          </w:p>
        </w:tc>
      </w:tr>
      <w:tr>
        <w:trPr>
          <w:cantSpli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Médicaments et doses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Fer et acide folique : un comprimé par jour</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Amlodipine 5 mg le matin</w:t>
            </w:r>
          </w:p>
        </w:tc>
      </w:tr>
      <w:tr>
        <w:trPr>
          <w:cantSplit/>
        </w:trPr>
        <w:tc>
          <w:tcPr>
            <w:tcW w:type="dxa" w:w="27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Prochain rendez-vous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Dans 4 semaines</w:t>
            </w:r>
          </w:p>
        </w:tc>
        <w:tc>
          <w:tcPr>
            <w:tcW w:type="dxa" w:w="3469"/>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Non précisé</w:t>
            </w:r>
          </w:p>
        </w:tc>
      </w:tr>
    </w:tbl>
    <w:p>
      <w:pPr>
        <w:spacing w:after="60" w:line="276"/>
      </w:pPr>
    </w:p>
    <w:p>
      <w:pPr>
        <w:spacing w:after="120" w:line="276"/>
      </w:pPr>
      <w:r>
        <w:rPr>
          <w:rFonts w:ascii="Arial" w:cs="Arial" w:eastAsia="Arial" w:hAnsi="Arial"/>
          <w:sz w:val="19"/>
          <w:szCs w:val="19"/>
        </w:rPr>
        <w:t xml:space="preserve">Points de vigilance : le diabète du dossier C est celui de la </w:t>
      </w:r>
      <w:r>
        <w:rPr>
          <w:rFonts w:ascii="Arial" w:cs="Arial" w:eastAsia="Arial" w:hAnsi="Arial"/>
          <w:b/>
          <w:bCs/>
          <w:sz w:val="19"/>
          <w:szCs w:val="19"/>
        </w:rPr>
        <w:t xml:space="preserve">mère</w:t>
      </w:r>
      <w:r>
        <w:rPr>
          <w:rFonts w:ascii="Arial" w:cs="Arial" w:eastAsia="Arial" w:hAnsi="Arial"/>
          <w:sz w:val="19"/>
          <w:szCs w:val="19"/>
        </w:rPr>
        <w:t xml:space="preserve">, pas de la patiente ; celui du dossier D est une </w:t>
      </w:r>
      <w:r>
        <w:rPr>
          <w:rFonts w:ascii="Arial" w:cs="Arial" w:eastAsia="Arial" w:hAnsi="Arial"/>
          <w:b/>
          <w:bCs/>
          <w:sz w:val="19"/>
          <w:szCs w:val="19"/>
        </w:rPr>
        <w:t xml:space="preserve">suspicion</w:t>
      </w:r>
      <w:r>
        <w:rPr>
          <w:rFonts w:ascii="Arial" w:cs="Arial" w:eastAsia="Arial" w:hAnsi="Arial"/>
          <w:sz w:val="19"/>
          <w:szCs w:val="19"/>
        </w:rPr>
        <w:t xml:space="preserve">, pas un diagnostic.</w:t>
      </w:r>
    </w:p>
    <w:p>
      <w:pPr>
        <w:pStyle w:val="Heading2"/>
        <w:keepNext/>
        <w:spacing w:after="100" w:before="220"/>
      </w:pPr>
      <w:r>
        <w:rPr>
          <w:rFonts w:ascii="Arial" w:cs="Arial" w:eastAsia="Arial" w:hAnsi="Arial"/>
          <w:b/>
          <w:bCs/>
          <w:color w:val="006A4E"/>
          <w:sz w:val="24"/>
          <w:szCs w:val="24"/>
        </w:rPr>
        <w:t xml:space="preserve">Lien avec le TP IT</w:t>
      </w:r>
    </w:p>
    <w:p>
      <w:pPr>
        <w:spacing w:after="120" w:line="276"/>
      </w:pPr>
      <w:r>
        <w:rPr>
          <w:rFonts w:ascii="Arial" w:cs="Arial" w:eastAsia="Arial" w:hAnsi="Arial"/>
          <w:sz w:val="21"/>
          <w:szCs w:val="21"/>
        </w:rPr>
        <w:t xml:space="preserve">Le notebook de la version IT reproduit ces étapes : repérage par règles, détection de négation, petit modèle appris sur des exemples, évaluation, puis lecture d’images avec un OCR et mesure de ses erreurs. Les dossiers sont issus du même principe : fictifs.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66"/>
        <w:sz w:val="16"/>
        <w:szCs w:val="16"/>
      </w:rPr>
      <w:t xml:space="preserve">Togo AI Lab · Formation IA · Module 4 · Atelier non-IT · page </w:t>
    </w:r>
    <w:r>
      <w:rPr>
        <w:rFonts w:ascii="Arial" w:cs="Arial" w:eastAsia="Arial" w:hAnsi="Arial"/>
        <w:color w:val="5B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 Atelier guidé non-IT</dc:title>
  <dc:creator>Togo AI Lab</dc:creator>
  <cp:lastModifiedBy>Un-named</cp:lastModifiedBy>
  <cp:revision>1</cp:revision>
  <dcterms:created xsi:type="dcterms:W3CDTF">2026-10-19T20:43:28.048Z</dcterms:created>
  <dcterms:modified xsi:type="dcterms:W3CDTF">2026-10-19T20:43:28.048Z</dcterms:modified>
</cp:coreProperties>
</file>

<file path=docProps/custom.xml><?xml version="1.0" encoding="utf-8"?>
<Properties xmlns="http://schemas.openxmlformats.org/officeDocument/2006/custom-properties" xmlns:vt="http://schemas.openxmlformats.org/officeDocument/2006/docPropsVTypes"/>
</file>