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FORMATION INTERMÉDIAIRE ET AVANCÉE</w:t>
      </w:r>
    </w:p>
    <w:p>
      <w:pPr>
        <w:spacing w:after="100"/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EN INTELLIGENCE ARTIFICIELLE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237E"/>
          <w:sz w:val="44"/>
          <w:szCs w:val="44"/>
        </w:rPr>
        <w:t xml:space="preserve">GUIDE DE TRAVAUX PRATIQUES</w:t>
      </w:r>
    </w:p>
    <w:p>
      <w:pPr>
        <w:spacing w:after="200"/>
        <w:jc w:val="center"/>
      </w:pPr>
      <w:r>
        <w:rPr>
          <w:rFonts w:ascii="Arial" w:cs="Arial" w:eastAsia="Arial" w:hAnsi="Arial"/>
          <w:color w:val="37474F"/>
          <w:sz w:val="28"/>
          <w:szCs w:val="28"/>
        </w:rPr>
        <w:t xml:space="preserve">Analyse de données &amp; Visualisation No-Code</w:t>
      </w:r>
    </w:p>
    <w:p>
      <w:pPr>
        <w:pBdr>
          <w:bottom w:val="single" w:color="E65100" w:sz="12" w:space="1"/>
        </w:pBdr>
        <w:spacing w:before="10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Orange Data Mining  ·  KNIME Analytics Platform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Module M3-nonIT  |  Volet Non-IT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Pour les Femmes Chercheures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21–25 septembre 2026  ·  Université de Lomé — UniPod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Jeu de données fourni : Enquête de satisfaction étudiante (n = 320)</w:t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Fichier : enquete_satisfaction_etudiante.csv</w:t>
      </w:r>
    </w:p>
    <w:p>
      <w:r>
        <w:br w:type="page"/>
      </w:r>
    </w:p>
    <w:p>
      <w:pPr>
        <w:pStyle w:val="Heading1"/>
      </w:pPr>
      <w:r>
        <w:t xml:space="preserve">1. Introduction et objectifs du TP</w:t>
      </w:r>
    </w:p>
    <w:p>
      <w:pPr>
        <w:spacing w:after="120"/>
      </w:pPr>
      <w:r>
        <w:rPr>
          <w:sz w:val="22"/>
          <w:szCs w:val="22"/>
        </w:rPr>
        <w:t xml:space="preserve">Ce guide de travaux pratiques accompagne le module « Analyse de données &amp; Visualisation No-Code ». Il est conçu pour des chercheures non-informaticiennes et se décompose en deux parties indépendantes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A — Orange Data Mining : exploration visuelle rapide et intuitive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Partie B — KNIME Analytics Platform : construction de pipelines d’analyse complets et reproductibles</w:t>
      </w:r>
    </w:p>
    <w:p>
      <w:pPr>
        <w:pStyle w:val="Heading2"/>
      </w:pPr>
      <w:r>
        <w:t xml:space="preserve">Objectifs pédagogiques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Charger, inspecter et préparer un jeu de données d’enquête réelle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Construire un workflow d’analyse exploratoire (EDA) sans écrire de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Produire des visualisations pertinentes (distributions, comparaisons, relations)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Documenter et exporter les résultats pour un usage recherche</w:t>
      </w:r>
    </w:p>
    <w:p>
      <w:pPr>
        <w:pStyle w:val="Heading2"/>
      </w:pPr>
      <w:r>
        <w:t xml:space="preserve">Jeu de données fourni</w:t>
      </w:r>
    </w:p>
    <w:p>
      <w:pPr>
        <w:spacing w:after="120"/>
      </w:pPr>
      <w:r>
        <w:rPr>
          <w:sz w:val="22"/>
          <w:szCs w:val="22"/>
        </w:rPr>
        <w:t xml:space="preserve">Le fichier </w:t>
      </w:r>
      <w:r>
        <w:rPr>
          <w:b/>
          <w:bCs/>
          <w:sz w:val="22"/>
          <w:szCs w:val="22"/>
        </w:rPr>
        <w:t xml:space="preserve">enquete_satisfaction_etudiante.csv</w:t>
      </w:r>
      <w:r>
        <w:rPr>
          <w:sz w:val="22"/>
          <w:szCs w:val="22"/>
        </w:rPr>
        <w:t xml:space="preserve"> contient les réponses de 320 étudiant·e·s à une enquête de satisfaction universitaire. Les variables sont inspirées de contextes réels en sciences de l’éducation et sciences sociales 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6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Identifiant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Numéro unique du répondant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Numérique continue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Âge en années (18–34)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Genre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Nominale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Femme / Homme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Filiere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Nominale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Lettres, Sciences Sociales, Droit, Sciences de l’éducation, Santé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Niveau_etudes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Ordinale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Licence 1 à Master 2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Score_satisfaction_globale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Numérique (1–5)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Satisfaction globale (échelle de Likert)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Score_charge_travail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Numérique (1–5)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Perception de la charge de travail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Score_qualite_enseignement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Numérique (1–5)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Qualité perçue de l’enseignement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Score_ressources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Numérique (1–5)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Satisfaction quant aux ressources (bibliothèque, salles…)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Zone_residence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Nominale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Urbain / Périurbain / Rural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Nombre_absences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Numérique discrète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d’absences déclarées</w:t>
            </w:r>
          </w:p>
        </w:tc>
      </w:tr>
    </w:tbl>
    <w:p>
      <w:pPr>
        <w:spacing w:after="120" w:before="160"/>
      </w:pPr>
      <w:r>
        <w:rPr>
          <w:b/>
          <w:bCs/>
          <w:sz w:val="20"/>
          <w:szCs w:val="20"/>
        </w:rPr>
        <w:t xml:space="preserve">Remarque : </w:t>
      </w:r>
      <w:r>
        <w:rPr>
          <w:i/>
          <w:iCs/>
          <w:sz w:val="20"/>
          <w:szCs w:val="20"/>
        </w:rPr>
        <w:t xml:space="preserve">Quelques valeurs manquantes ont été volontairement introduites (Score_ressources et Zone_residence) afin de s’entraîner à la détection et au traitement des manquants.</w:t>
      </w:r>
    </w:p>
    <w:p>
      <w:r>
        <w:br w:type="page"/>
      </w:r>
    </w:p>
    <w:p>
      <w:pPr>
        <w:shd w:fill="FFF3E0" w:val="clear"/>
        <w:spacing w:after="200" w:before="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PARTIE A — ORANGE DATA MINING</w:t>
      </w:r>
    </w:p>
    <w:p>
      <w:pPr>
        <w:pStyle w:val="Heading1"/>
      </w:pPr>
      <w:r>
        <w:t xml:space="preserve">2. Préparation et installation d’Orange</w:t>
      </w:r>
    </w:p>
    <w:p>
      <w:pPr>
        <w:spacing w:after="120"/>
      </w:pPr>
      <w:r>
        <w:rPr>
          <w:sz w:val="22"/>
          <w:szCs w:val="22"/>
        </w:rPr>
        <w:t xml:space="preserve">Orange Data Mining est un logiciel open-source développé par l’Université de Ljubljana. Il est gratuit et multiplateforme.</w:t>
      </w:r>
    </w:p>
    <w:p>
      <w:pPr>
        <w:pStyle w:val="Heading3"/>
      </w:pPr>
      <w:r>
        <w:t xml:space="preserve">Installation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Rendez-vous sur </w:t>
      </w:r>
      <w:r>
        <w:rPr>
          <w:b/>
          <w:bCs/>
          <w:sz w:val="22"/>
          <w:szCs w:val="22"/>
        </w:rPr>
        <w:t xml:space="preserve">https://orangedatamining.com</w:t>
      </w:r>
      <w:r>
        <w:rPr>
          <w:sz w:val="22"/>
          <w:szCs w:val="22"/>
        </w:rPr>
        <w:t xml:space="preserve"> et téléchargez la version adaptée à votre système (Windows, macOS ou Linux).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Installez le logiciel en suivant l’assistant. Aucune configuration complexe n’est requise.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2"/>
          <w:szCs w:val="22"/>
        </w:rPr>
        <w:t xml:space="preserve">Lancez Orange. Vous obtenez un canvas vide et un panneau de widgets à gauche.</w:t>
      </w:r>
    </w:p>
    <w:p>
      <w:pPr>
        <w:pStyle w:val="Heading2"/>
      </w:pPr>
      <w:r>
        <w:t xml:space="preserve">Découverte de l’interface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Barre d’outils (haut) : ouvrir / enregistrer un workflow, exécuter, aide.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Panneau Widgets (gauche) : bibliothèque organisée par catégories (Data, Visualize, Transform, Model…).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Canvas (centre) : zone où l’on assemble les widgets et les connecte.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Fenêtre de widget : double-clic sur un widget pour le configurer et voir les résultats.</w:t>
      </w:r>
    </w:p>
    <w:p>
      <w:pPr>
        <w:pStyle w:val="Heading1"/>
      </w:pPr>
      <w:r>
        <w:t xml:space="preserve">3. Atelier guidé Orange — Analyse exploratoire</w:t>
      </w:r>
    </w:p>
    <w:p>
      <w:pPr>
        <w:pStyle w:val="Heading2"/>
      </w:pPr>
      <w:r>
        <w:t xml:space="preserve">Étape 1 : Charger le jeu de données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Dans le panneau de gauche, section </w:t>
      </w:r>
      <w:r>
        <w:rPr>
          <w:b/>
          <w:bCs/>
          <w:sz w:val="22"/>
          <w:szCs w:val="22"/>
        </w:rPr>
        <w:t xml:space="preserve">Data</w:t>
      </w:r>
      <w:r>
        <w:rPr>
          <w:sz w:val="22"/>
          <w:szCs w:val="22"/>
        </w:rPr>
        <w:t xml:space="preserve">, glissez le widget </w:t>
      </w:r>
      <w:r>
        <w:rPr>
          <w:b/>
          <w:bCs/>
          <w:sz w:val="22"/>
          <w:szCs w:val="22"/>
        </w:rPr>
        <w:t xml:space="preserve">File</w:t>
      </w:r>
      <w:r>
        <w:rPr>
          <w:sz w:val="22"/>
          <w:szCs w:val="22"/>
        </w:rPr>
        <w:t xml:space="preserve"> sur le canvas (ou faites un clic droit → tapez « File »).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Double-cliquez sur le widget File. Cliquez sur « … » et sélectionnez le fichier </w:t>
      </w:r>
      <w:r>
        <w:rPr>
          <w:b/>
          <w:bCs/>
          <w:sz w:val="22"/>
          <w:szCs w:val="22"/>
        </w:rPr>
        <w:t xml:space="preserve">enquete_satisfaction_etudiante.csv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Vérifiez que le séparateur est bien la virgule (ou point-virgule selon votre export) et que « Has header » est coché.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Cliquez sur « Reload » si nécessaire. Le widget affiche le nombre de lignes et de colonnes détectées (320 × 11).</w:t>
      </w:r>
    </w:p>
    <w:p>
      <w:pPr>
        <w:pStyle w:val="Heading2"/>
      </w:pPr>
      <w:r>
        <w:t xml:space="preserve">Étape 2 : Inspecter les données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Glissez le widget </w:t>
      </w:r>
      <w:r>
        <w:rPr>
          <w:b/>
          <w:bCs/>
          <w:sz w:val="22"/>
          <w:szCs w:val="22"/>
        </w:rPr>
        <w:t xml:space="preserve">Data Table</w:t>
      </w:r>
      <w:r>
        <w:rPr>
          <w:sz w:val="22"/>
          <w:szCs w:val="22"/>
        </w:rPr>
        <w:t xml:space="preserve"> (catégorie Data) sur le canvas.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Connectez la sortie (cercle droit) du widget File à l’entrée (cercle gauche) de Data Table en tirant un lien avec la souris.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Double-cliquez sur Data Table. Vous visualisez le tableau complet. Observez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Les types de variables (numériques vs catégorielles)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Les valeurs manquantes (cases vides ou « ? » pour Score_ressources et Zone_residence)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Les premières lignes pour vérifier la cohérence</w:t>
      </w:r>
    </w:p>
    <w:p>
      <w:pPr>
        <w:pStyle w:val="Heading2"/>
      </w:pPr>
      <w:r>
        <w:t xml:space="preserve">Étape 3 : Sélectionner les variables d’intérêt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Ajoutez le widget </w:t>
      </w:r>
      <w:r>
        <w:rPr>
          <w:b/>
          <w:bCs/>
          <w:sz w:val="22"/>
          <w:szCs w:val="22"/>
        </w:rPr>
        <w:t xml:space="preserve">Select Columns</w:t>
      </w:r>
      <w:r>
        <w:rPr>
          <w:sz w:val="22"/>
          <w:szCs w:val="22"/>
        </w:rPr>
        <w:t xml:space="preserve"> (catégorie Data).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Connectez File → Select Columns.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Dans la configuration, déplacez vers la zone « Features » les colonnes utiles : Age, Genre, Filiere, Niveau_etudes, Score_satisfaction_globale, Score_charge_travail, Score_qualite_enseignement, Score_ressources, Zone_residence, Nombre_absences. Vous pouvez exclure ID si vous le souhaitez.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Appliquez. Les widgets en aval ne recevront que les colonnes sélectionnées.</w:t>
      </w:r>
    </w:p>
    <w:p>
      <w:pPr>
        <w:pStyle w:val="Heading2"/>
      </w:pPr>
      <w:r>
        <w:t xml:space="preserve">Étape 4 : Visualiser les distributions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Ajoutez le widget </w:t>
      </w:r>
      <w:r>
        <w:rPr>
          <w:b/>
          <w:bCs/>
          <w:sz w:val="22"/>
          <w:szCs w:val="22"/>
        </w:rPr>
        <w:t xml:space="preserve">Distributions</w:t>
      </w:r>
      <w:r>
        <w:rPr>
          <w:sz w:val="22"/>
          <w:szCs w:val="22"/>
        </w:rPr>
        <w:t xml:space="preserve"> (catégorie Visualize).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Connectez Select Columns → Distributions.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Ouvrez le widget. Sélectionnez une variable numérique (ex. Score_satisfaction_globale). Observez l’histogramme et la densité. Identifiez la forme de la distribution (asymétrie, multi-modalité) et d’éventuels outliers.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Répétez pour Score_charge_travail et Age. Notez les observations dans votre carnet de bord.</w:t>
      </w:r>
    </w:p>
    <w:p>
      <w:pPr>
        <w:pStyle w:val="Heading2"/>
      </w:pPr>
      <w:r>
        <w:t xml:space="preserve">Étape 5 : Comparer des groupes (Box Plot)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Ajoutez le widget </w:t>
      </w:r>
      <w:r>
        <w:rPr>
          <w:b/>
          <w:bCs/>
          <w:sz w:val="22"/>
          <w:szCs w:val="22"/>
        </w:rPr>
        <w:t xml:space="preserve">Box Plot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Connectez Select Columns → Box Plot.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Configurez : Variable = Score_satisfaction_globale ; Subgroup = Genre (ou Filiere).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Interprétez : médiane, écart interquartile, valeurs extrêmes. Y a-t-il une différence visible de satisfaction selon le genre ou la filière ?</w:t>
      </w:r>
    </w:p>
    <w:p>
      <w:pPr>
        <w:pStyle w:val="Heading2"/>
      </w:pPr>
      <w:r>
        <w:t xml:space="preserve">Étape 6 : Explorer les relations (Scatter Plot)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Ajoutez </w:t>
      </w:r>
      <w:r>
        <w:rPr>
          <w:b/>
          <w:bCs/>
          <w:sz w:val="22"/>
          <w:szCs w:val="22"/>
        </w:rPr>
        <w:t xml:space="preserve">Scatter Plot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Connectez Select Columns → Scatter Plot.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Axes : X = Score_charge_travail ; Y = Score_satisfaction_globale. Color by = Genre (ou Filiere).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Observez la relation (corrélation négative attendue ?). Utilisez la sélection interactive pour isoler un sous-groupe et le transmettre à d’autres widgets.</w:t>
      </w:r>
    </w:p>
    <w:p>
      <w:pPr>
        <w:pStyle w:val="Heading2"/>
      </w:pPr>
      <w:r>
        <w:t xml:space="preserve">Étape 7 : Relations catégorielles (Mosaic Display)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Ajoutez le widget </w:t>
      </w:r>
      <w:r>
        <w:rPr>
          <w:b/>
          <w:bCs/>
          <w:sz w:val="22"/>
          <w:szCs w:val="22"/>
        </w:rPr>
        <w:t xml:space="preserve">Mosaic Display</w:t>
      </w:r>
      <w:r>
        <w:rPr>
          <w:sz w:val="22"/>
          <w:szCs w:val="22"/>
        </w:rPr>
        <w:t xml:space="preserve"> (Visualize).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Connectez et choisissez deux variables catégorielles (ex. Genre × Niveau_etudes ou Filiere × Zone_residence).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2"/>
          <w:szCs w:val="22"/>
        </w:rPr>
        <w:t xml:space="preserve">Interprétez les proportions et les associations éventuelles.</w:t>
      </w:r>
    </w:p>
    <w:p>
      <w:pPr>
        <w:spacing w:before="200"/>
        <w:jc w:val="center"/>
      </w:pPr>
      <w:r>
        <w:drawing>
          <wp:inline distT="0" distB="0" distL="0" distR="0">
            <wp:extent cx="5238750" cy="1714500"/>
            <wp:effectExtent t="0" r="0" b="0" l="0"/>
            <wp:docPr id="1" name="workflow_o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Exemple de workflow type d’analyse exploratoire dans Orange</w:t>
      </w:r>
    </w:p>
    <w:p>
      <w:pPr>
        <w:pStyle w:val="Heading2"/>
      </w:pPr>
      <w:r>
        <w:t xml:space="preserve">Étape 8 : Sauvegarder et exporter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Enregistrez le workflow (Fichier → Save) sous un nom clair, ex. </w:t>
      </w:r>
      <w:r>
        <w:rPr>
          <w:b/>
          <w:bCs/>
          <w:sz w:val="22"/>
          <w:szCs w:val="22"/>
        </w:rPr>
        <w:t xml:space="preserve">TP_Orange_Satisfaction_Etudiante.ows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Pour exporter un graphique : dans la fenêtre du widget de visualisation, utilisez le menu ou le bouton d’export (PNG/SVG).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2"/>
          <w:szCs w:val="22"/>
        </w:rPr>
        <w:t xml:space="preserve">Documentez brièvement vos observations (1/2 page) : distributions, différences de groupes, relations observées.</w:t>
      </w:r>
    </w:p>
    <w:p>
      <w:pPr>
        <w:pStyle w:val="Heading2"/>
      </w:pPr>
      <w:r>
        <w:t xml:space="preserve">Checklist de validation — Orange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Fichier chargé correctement (320 lignes, 11 colonnes)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Valeurs manquantes identifiées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Au moins un histogramme (Distributions) produit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Au moins un Box Plot comparatif produit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Au moins un Scatter Plot produit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Workflow sauvegardé (.ows)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Notes d’interprétation rédigées</w:t>
      </w:r>
    </w:p>
    <w:p>
      <w:r>
        <w:br w:type="page"/>
      </w:r>
    </w:p>
    <w:p>
      <w:pPr>
        <w:shd w:fill="FFFDE7" w:val="clear"/>
        <w:spacing w:after="200" w:before="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PARTIE B — KNIME ANALYTICS PLATFORM</w:t>
      </w:r>
    </w:p>
    <w:p>
      <w:pPr>
        <w:pStyle w:val="Heading1"/>
      </w:pPr>
      <w:r>
        <w:t xml:space="preserve">4. Préparation et installation de KNIME</w:t>
      </w:r>
    </w:p>
    <w:p>
      <w:pPr>
        <w:spacing w:after="120"/>
      </w:pPr>
      <w:r>
        <w:rPr>
          <w:sz w:val="22"/>
          <w:szCs w:val="22"/>
        </w:rPr>
        <w:t xml:space="preserve">KNIME Analytics Platform est une plateforme open-source gratuite permettant de construire des pipelines d’analyse complets par assemblage de nœuds (nodes).</w:t>
      </w:r>
    </w:p>
    <w:p>
      <w:pPr>
        <w:pStyle w:val="Heading3"/>
      </w:pPr>
      <w:r>
        <w:t xml:space="preserve">Installation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Téléchargez KNIME Analytics Platform sur </w:t>
      </w:r>
      <w:r>
        <w:rPr>
          <w:b/>
          <w:bCs/>
          <w:sz w:val="22"/>
          <w:szCs w:val="22"/>
        </w:rPr>
        <w:t xml:space="preserve">https://www.knime.com/downloads</w:t>
      </w:r>
      <w:r>
        <w:rPr>
          <w:sz w:val="22"/>
          <w:szCs w:val="22"/>
        </w:rPr>
        <w:t xml:space="preserve"> (version gratuite).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Installez et lancez. Au premier démarrage, acceptez l’espace de travail (workspace) proposé ou choisissez un dossier dédié.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sz w:val="22"/>
          <w:szCs w:val="22"/>
        </w:rPr>
        <w:t xml:space="preserve">L’interface s’organise en plusieurs vues : Explorer (gauche), Node Repository (bas gauche), Workflow Editor (centre), Description et Console.</w:t>
      </w:r>
    </w:p>
    <w:p>
      <w:pPr>
        <w:pStyle w:val="Heading2"/>
      </w:pPr>
      <w:r>
        <w:t xml:space="preserve">Découverte de l’interface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KNIME Explorer / Local Space : gestion des workflows et des fichiers.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Node Repository : recherche et glisser-déposer des centaines de nœuds (IO, Manipulation, Views…).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Workflow Editor : zone centrale de construction.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Node Description : documentation contextuelle du nœud sélectionné.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sz w:val="22"/>
          <w:szCs w:val="22"/>
        </w:rPr>
        <w:t xml:space="preserve">Console &amp; Node Monitor : messages d’exécution et aperçu des données en sortie.</w:t>
      </w:r>
    </w:p>
    <w:p>
      <w:pPr>
        <w:pStyle w:val="Heading1"/>
      </w:pPr>
      <w:r>
        <w:t xml:space="preserve">5. Atelier guidé KNIME — Pipeline d’analyse exploratoire</w:t>
      </w:r>
    </w:p>
    <w:p>
      <w:pPr>
        <w:pStyle w:val="Heading2"/>
      </w:pPr>
      <w:r>
        <w:t xml:space="preserve">Étape 1 : Créer un nouveau workflow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Dans KNIME Explorer, clic droit sur LOCAL → New KNIME Workflow → nommez-le </w:t>
      </w:r>
      <w:r>
        <w:rPr>
          <w:b/>
          <w:bCs/>
          <w:sz w:val="22"/>
          <w:szCs w:val="22"/>
        </w:rPr>
        <w:t xml:space="preserve">TP_KNIME_Satisfaction_Etudiante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Le Workflow Editor s’ouvre vide.</w:t>
      </w:r>
    </w:p>
    <w:p>
      <w:pPr>
        <w:pStyle w:val="Heading2"/>
      </w:pPr>
      <w:r>
        <w:t xml:space="preserve">Étape 2 : Lire le fichier de données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Dans le Node Repository, recherchez « CSV Reader » (ou glissez directement le fichier CSV dans l’éditeur : un nœud Reader se crée automatiquement).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Double-cliquez sur le nœud CSV Reader. Onglet « Settings » : indiquez le chemin du fichier </w:t>
      </w:r>
      <w:r>
        <w:rPr>
          <w:b/>
          <w:bCs/>
          <w:sz w:val="22"/>
          <w:szCs w:val="22"/>
        </w:rPr>
        <w:t xml:space="preserve">enquete_satisfaction_etudiante.csv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Vérifiez le séparateur (virgule), le charset (UTF-8) et que « Has Column Header » est coché. Cliquez sur « Apply » puis « OK ».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Exécutez le nœud (clic droit → Execute, ou F7). Le nœud passe au vert si tout est correct.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Clic droit → « Output Data » (ou Node Monitor) pour prévisualiser le tableau.</w:t>
      </w:r>
    </w:p>
    <w:p>
      <w:pPr>
        <w:pStyle w:val="Heading2"/>
      </w:pPr>
      <w:r>
        <w:t xml:space="preserve">Étape 3 : Filtrer les colonnes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Recherchez et ajoutez le nœud </w:t>
      </w:r>
      <w:r>
        <w:rPr>
          <w:b/>
          <w:bCs/>
          <w:sz w:val="22"/>
          <w:szCs w:val="22"/>
        </w:rPr>
        <w:t xml:space="preserve">Column Filter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Connectez la sortie du CSV Reader à l’entrée du Column Filter.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Configurez : excluez éventuellement la colonne ID. Gardez toutes les autres variables d’analyse.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Exécutez le nœud.</w:t>
      </w:r>
    </w:p>
    <w:p>
      <w:pPr>
        <w:pStyle w:val="Heading2"/>
      </w:pPr>
      <w:r>
        <w:t xml:space="preserve">Étape 4 : Nettoyer les lignes (valeurs manquantes)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Ajoutez un nœud </w:t>
      </w:r>
      <w:r>
        <w:rPr>
          <w:b/>
          <w:bCs/>
          <w:sz w:val="22"/>
          <w:szCs w:val="22"/>
        </w:rPr>
        <w:t xml:space="preserve">Row Filter</w:t>
      </w:r>
      <w:r>
        <w:rPr>
          <w:sz w:val="22"/>
          <w:szCs w:val="22"/>
        </w:rPr>
        <w:t xml:space="preserve"> (ou Missing Value pour un traitement plus avancé).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Option simple : filtrer les lignes où Zone_residence n’est pas manquante (si vous souhaitez travailler uniquement sur les observations complètes pour cette variable).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Alternative recommandée : utilisez le nœud </w:t>
      </w:r>
      <w:r>
        <w:rPr>
          <w:b/>
          <w:bCs/>
          <w:sz w:val="22"/>
          <w:szCs w:val="22"/>
        </w:rPr>
        <w:t xml:space="preserve">Missing Value</w:t>
      </w:r>
      <w:r>
        <w:rPr>
          <w:sz w:val="22"/>
          <w:szCs w:val="22"/>
        </w:rPr>
        <w:t xml:space="preserve"> pour imputer ou marquer les manquants selon la stratégie choisie (ex. médiane pour Score_ressources, ou « Most frequent » pour Zone_residence).</w:t>
      </w:r>
    </w:p>
    <w:p>
      <w:pPr>
        <w:pStyle w:val="Heading2"/>
      </w:pPr>
      <w:r>
        <w:t xml:space="preserve">Étape 5 : Statistiques descriptives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Ajoutez le nœud </w:t>
      </w:r>
      <w:r>
        <w:rPr>
          <w:b/>
          <w:bCs/>
          <w:sz w:val="22"/>
          <w:szCs w:val="22"/>
        </w:rPr>
        <w:t xml:space="preserve">Statistics</w:t>
      </w:r>
      <w:r>
        <w:rPr>
          <w:sz w:val="22"/>
          <w:szCs w:val="22"/>
        </w:rPr>
        <w:t xml:space="preserve"> (catégorie Analytics ou Manipulation).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Connectez et exécutez. Le nœud produit moyenne, médiane, écart-type, min, max, etc. pour les variables numériques.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Examinez les résultats dans le Node Monitor ou via un nœud Table View en aval.</w:t>
      </w:r>
    </w:p>
    <w:p>
      <w:pPr>
        <w:pStyle w:val="Heading2"/>
      </w:pPr>
      <w:r>
        <w:t xml:space="preserve">Étape 6 : Visualisations</w:t>
      </w:r>
    </w:p>
    <w:p>
      <w:pPr>
        <w:spacing w:after="80"/>
      </w:pPr>
      <w:r>
        <w:rPr>
          <w:sz w:val="22"/>
          <w:szCs w:val="22"/>
        </w:rPr>
        <w:t xml:space="preserve">Ajoutez successivement et connectez en parallèle à partir du nœud de données nettoyées 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Histogram </w:t>
      </w:r>
      <w:r>
        <w:rPr>
          <w:sz w:val="22"/>
          <w:szCs w:val="22"/>
        </w:rPr>
        <w:t xml:space="preserve">: distribution de Age ou Score_satisfaction_globale.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Bar Chart </w:t>
      </w:r>
      <w:r>
        <w:rPr>
          <w:sz w:val="22"/>
          <w:szCs w:val="22"/>
        </w:rPr>
        <w:t xml:space="preserve">: fréquences de Filiere ou Niveau_etudes.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Box Plot </w:t>
      </w:r>
      <w:r>
        <w:rPr>
          <w:sz w:val="22"/>
          <w:szCs w:val="22"/>
        </w:rPr>
        <w:t xml:space="preserve">: Score_satisfaction_globale selon Genre ou Filiere.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  <w:sz w:val="22"/>
          <w:szCs w:val="22"/>
        </w:rPr>
        <w:t xml:space="preserve">Scatter Plot </w:t>
      </w:r>
      <w:r>
        <w:rPr>
          <w:sz w:val="22"/>
          <w:szCs w:val="22"/>
        </w:rPr>
        <w:t xml:space="preserve">: Score_charge_travail vs Score_satisfaction_globale.</w:t>
      </w:r>
    </w:p>
    <w:p>
      <w:pPr>
        <w:spacing w:after="120"/>
      </w:pPr>
      <w:r>
        <w:rPr>
          <w:sz w:val="22"/>
          <w:szCs w:val="22"/>
        </w:rPr>
        <w:t xml:space="preserve">Pour chaque nœud de visualisation : configurez les axes / colonnes, exécutez, puis visualisez (clic droit → View).</w:t>
      </w:r>
    </w:p>
    <w:p>
      <w:pPr>
        <w:pStyle w:val="Heading2"/>
      </w:pPr>
      <w:r>
        <w:t xml:space="preserve">Étape 7 : Export des résultats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Ajoutez un nœud </w:t>
      </w:r>
      <w:r>
        <w:rPr>
          <w:b/>
          <w:bCs/>
          <w:sz w:val="22"/>
          <w:szCs w:val="22"/>
        </w:rPr>
        <w:t xml:space="preserve">Excel Writer</w:t>
      </w:r>
      <w:r>
        <w:rPr>
          <w:sz w:val="22"/>
          <w:szCs w:val="22"/>
        </w:rPr>
        <w:t xml:space="preserve"> ou </w:t>
      </w:r>
      <w:r>
        <w:rPr>
          <w:b/>
          <w:bCs/>
          <w:sz w:val="22"/>
          <w:szCs w:val="22"/>
        </w:rPr>
        <w:t xml:space="preserve">CSV Writer</w:t>
      </w:r>
      <w:r>
        <w:rPr>
          <w:sz w:val="22"/>
          <w:szCs w:val="22"/>
        </w:rPr>
        <w:t xml:space="preserve"> pour sauvegarder un tableau de résultats (ex. statistiques ou données filtrées).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Pour les graphiques, utilisez les options d’export de chaque vue (PNG) ou le nœud Image Writer si disponible.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sz w:val="22"/>
          <w:szCs w:val="22"/>
        </w:rPr>
        <w:t xml:space="preserve">Enregistrez le workflow (Ctrl+S). Le fichier .knwf contient l’ensemble du pipeline.</w:t>
      </w:r>
    </w:p>
    <w:p>
      <w:pPr>
        <w:spacing w:before="200"/>
        <w:jc w:val="center"/>
      </w:pPr>
      <w:r>
        <w:drawing>
          <wp:inline distT="0" distB="0" distL="0" distR="0">
            <wp:extent cx="5238750" cy="1714500"/>
            <wp:effectExtent t="0" r="0" b="0" l="0"/>
            <wp:docPr id="2" name="workflow_kn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Exemple de workflow type d’analyse exploratoire dans KNIME</w:t>
      </w:r>
    </w:p>
    <w:p>
      <w:pPr>
        <w:pStyle w:val="Heading2"/>
      </w:pPr>
      <w:r>
        <w:t xml:space="preserve">Checklist de validation — KNIME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Workflow créé et nommé clairement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CSV Reader configuré et exécuté (nœud vert)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Column Filter et/ou traitement des manquants effectués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Statistiques descriptives produites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Au moins un Histogram et un Bar Chart produits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Box Plot ou Scatter Plot produit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Résultats exportés (table ou image)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Workflow sauvegardé (.knwf)</w:t>
      </w:r>
    </w:p>
    <w:p>
      <w:r>
        <w:br w:type="page"/>
      </w:r>
    </w:p>
    <w:p>
      <w:pPr>
        <w:pStyle w:val="Heading1"/>
      </w:pPr>
      <w:r>
        <w:t xml:space="preserve">6. Bonnes pratiques communes et éthique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Documenter le workflow : nommer clairement chaque widget/nœud et conserver le fichier de workflow avec le jeu de données.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Toujours inspecter les manquants, doublons et valeurs aberrantes avant d’interpréter.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Respecter la confidentialité : anonymiser les données personnelles ; ne jamais partager de données identifiantes.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Éviter la surinterprétation : une corrélation n’est pas une causalité. Relier les résultats aux questions de recherche.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Reproductibilité : un collègue doit pouvoir rouvrir le workflow et obtenir les mêmes résultats.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Choisir le bon graphique selon la nature des données et le message à transmettre.</w:t>
      </w:r>
    </w:p>
    <w:p>
      <w:pPr>
        <w:pStyle w:val="Heading1"/>
      </w:pPr>
      <w:r>
        <w:t xml:space="preserve">7. Livrable attendu et suite</w:t>
      </w:r>
    </w:p>
    <w:p>
      <w:pPr>
        <w:spacing w:after="120"/>
      </w:pPr>
      <w:r>
        <w:rPr>
          <w:sz w:val="22"/>
          <w:szCs w:val="22"/>
        </w:rPr>
        <w:t xml:space="preserve">Pour la validation du module, chaque participante est invitée à 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Reproduire au moins un des deux ateliers (Orange ou KNIME) avec le jeu fourni.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Appliquer les mêmes outils à un extrait de ses propres données de recherche (ou un second jeu fourni).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Documenter le cas d’usage (workflow + 2–3 visualisations + interprétation courte) pour le jour 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Sauvegarder les fichiers de workflow et les images exportées.</w:t>
      </w:r>
    </w:p>
    <w:p>
      <w:pPr>
        <w:pStyle w:val="Heading2"/>
      </w:pPr>
      <w:r>
        <w:t xml:space="preserve">Ressources complémentaires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Orange Data Mining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Site officiel : orangedatamining.com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Chaîne YouTube « Orange Essentials »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Documentation et jeux de données intégrés (widget Datasets)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KNIME Analytics Platform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Site officiel : knime.com — Getting Started Guide &amp; User Guide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KNIME Hub : milliers de workflows partagés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sz w:val="22"/>
          <w:szCs w:val="22"/>
        </w:rPr>
        <w:t xml:space="preserve">Chaîne YouTube officielle KNIME et forum communautaire</w:t>
      </w:r>
    </w:p>
    <w:p>
      <w:pPr>
        <w:spacing w:before="300"/>
        <w:jc w:val="center"/>
      </w:pPr>
      <w:r>
        <w:rPr>
          <w:i/>
          <w:iCs/>
          <w:color w:val="666666"/>
          <w:sz w:val="20"/>
          <w:szCs w:val="20"/>
        </w:rPr>
        <w:t xml:space="preserve">— Fin du guide de TP —</w:t>
      </w:r>
    </w:p>
    <w:p>
      <w:pPr>
        <w:spacing w:before="100"/>
        <w:jc w:val="center"/>
      </w:pPr>
      <w:r>
        <w:rPr>
          <w:i/>
          <w:iCs/>
          <w:color w:val="666666"/>
          <w:sz w:val="16"/>
          <w:szCs w:val="16"/>
        </w:rPr>
        <w:t xml:space="preserve">Cette formation s’inscrit dans le cadre du Projet de Transformation Digitale de l’Économie Togolaise (ProDigiT), sous mandat du BMZ et cofinancé par l’Union européenne et le Luxembourg, en appui à l’Agence Togo Digital (ATD) et au MESPTN.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ProDigiT / ATD  ·  Université de Lomé — UniPod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Guide de TP — Analyse de données No-Code  |  Orange &amp; KNIME  |  Formation IA Femmes Chercheures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A237E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6602590fd7f324e0802bf7fa9ee25aaa7662a4.png"/><Relationship Id="rId10" Type="http://schemas.openxmlformats.org/officeDocument/2006/relationships/image" Target="media/82f24ea62e8340dc505ad7462ab986363646ab2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2026-10-20T19:15:14.830Z</dcterms:created>
  <dcterms:modified xsi:type="dcterms:W3CDTF">2026-10-20T19:15:14.831Z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