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65A" w:rsidRDefault="00022F3E">
      <w:r>
        <w:rPr>
          <w:i/>
          <w:iCs/>
          <w:color w:val="6B7C82"/>
          <w:sz w:val="16"/>
          <w:szCs w:val="16"/>
        </w:rPr>
        <w:t>CORPUS FICTIF · Formation IA femmes chercheures · Module M4-nonIT. Les personnes, lieux précis et données sont inventés à des fins pédagogiques.</w:t>
      </w:r>
    </w:p>
    <w:p w:rsidR="00BF265A" w:rsidRDefault="00BF265A">
      <w:pPr>
        <w:spacing w:after="60"/>
      </w:pPr>
    </w:p>
    <w:p w:rsidR="00BF265A" w:rsidRDefault="00022F3E">
      <w:r>
        <w:rPr>
          <w:b/>
          <w:bCs/>
          <w:color w:val="E0A526"/>
          <w:sz w:val="18"/>
          <w:szCs w:val="18"/>
        </w:rPr>
        <w:t>RÉSUMÉ DE THÈSE · Lab 1 Rédaction · Pack commun (toutes pistes)</w:t>
      </w:r>
    </w:p>
    <w:p w:rsidR="00BF265A" w:rsidRDefault="00022F3E">
      <w:pPr>
        <w:pStyle w:val="Titre1"/>
      </w:pPr>
      <w:r>
        <w:t>Trajectoires des doctorantes au Togo : obstacles et leviers de réussite</w:t>
      </w:r>
    </w:p>
    <w:p w:rsidR="00BF265A" w:rsidRDefault="00022F3E">
      <w:r>
        <w:rPr>
          <w:i/>
          <w:iCs/>
          <w:color w:val="6B7C82"/>
        </w:rPr>
        <w:t>Doctorante et école doctorale fictives · Version de travail, non relue</w:t>
      </w:r>
    </w:p>
    <w:p w:rsidR="00BF265A" w:rsidRDefault="00BF265A">
      <w:pPr>
        <w:spacing w:after="60"/>
      </w:pPr>
    </w:p>
    <w:p w:rsidR="00BF265A" w:rsidRDefault="00022F3E">
      <w:pPr>
        <w:pStyle w:val="Titre2"/>
      </w:pPr>
      <w:r>
        <w:t>Résumé</w:t>
      </w:r>
    </w:p>
    <w:p w:rsidR="00BF265A" w:rsidRDefault="00022F3E">
      <w:pPr>
        <w:jc w:val="both"/>
      </w:pPr>
      <w:r>
        <w:t>Malgré la progression de l'accès des filles à l'enseignement supérieur, les femmes restent minoritaires parmi les docteurs et les enseignants-chercheurs au Togo. Cette thèse analyse les trajectoires des doctorantes inscrites dans les universités publiques togolaises (Lomé et Kara) afin d'identifier les obstacles à l'achèvement de la thèse et les leviers de réussite.</w:t>
      </w:r>
    </w:p>
    <w:p w:rsidR="00BF265A" w:rsidRDefault="00022F3E">
      <w:pPr>
        <w:jc w:val="both"/>
      </w:pPr>
      <w:r>
        <w:t>L'enquête combine un questionnaire administré à 214 doctorantes entre octobre 2024 et mars 2025 et 26 entretiens semi-directifs avec des doctorantes, des directeurs et directrices de thèse et des responsables d'écoles doctorales. Les données du questionnaire ont été analysées par régression logistique, les entretiens par analyse thématique.</w:t>
      </w:r>
    </w:p>
    <w:p w:rsidR="00BF265A" w:rsidRDefault="00022F3E">
      <w:pPr>
        <w:jc w:val="both"/>
      </w:pPr>
      <w:r>
        <w:t>Les résultats montrent que 41 % des doctorantes envisagent d'abandonner leur thèse. Les principaux obstacles sont la charge des tâches domestiques et familiales, le manque de financement, l'isolement et l'insuffisance de l'encadrement. Le mariage provoque l'abandon de la thèse : les doctorantes mariées sont deux fois plus nombreuses à envisager d'arrêter. Comme l'a montré Kouassi (2019), l'absence de modèles féminins décourage les jeunes chercheuses. À l'inverse, l'appartenance à un réseau de pairs, un enca</w:t>
      </w:r>
      <w:r>
        <w:t>drement régulier et l'obtention d'une bourse sont associés à une meilleure progression.</w:t>
      </w:r>
    </w:p>
    <w:p w:rsidR="00BF265A" w:rsidRDefault="00022F3E">
      <w:pPr>
        <w:jc w:val="both"/>
      </w:pPr>
      <w:r>
        <w:t>Ces résultats, obtenus auprès des 241 répondantes, confirment que toutes les doctorantes africaines rencontrent les mêmes difficultés. La thèse recommande la création de bourses réservées aux doctorantes, de programmes de mentorat et d'aménagements pour les doctorantes mères.</w:t>
      </w:r>
    </w:p>
    <w:p w:rsidR="00BF265A" w:rsidRDefault="00022F3E">
      <w:r>
        <w:rPr>
          <w:b/>
          <w:bCs/>
        </w:rPr>
        <w:t xml:space="preserve">Mots-clés : </w:t>
      </w:r>
      <w:r>
        <w:t>doctorantes ; genre ; enseignement supérieur ; abandon ; mentorat ; Togo.</w:t>
      </w:r>
    </w:p>
    <w:sectPr w:rsidR="00BF265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2F3E" w:rsidRDefault="00022F3E">
      <w:pPr>
        <w:spacing w:after="0" w:line="240" w:lineRule="auto"/>
      </w:pPr>
      <w:r>
        <w:separator/>
      </w:r>
    </w:p>
  </w:endnote>
  <w:endnote w:type="continuationSeparator" w:id="0">
    <w:p w:rsidR="00022F3E" w:rsidRDefault="00022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embedRegular r:id="rId1" w:fontKey="{114E7FCB-29AC-4852-8652-A7BFA79C511C}"/>
    <w:embedBold r:id="rId2" w:fontKey="{1FB4A60D-C53F-414E-B3D7-BB0F081BD64B}"/>
    <w:embedItalic r:id="rId3" w:fontKey="{4815AAA2-9178-4FD4-BD9D-FC16A3E3696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DF530C0-E882-4E96-AF0F-B6ECED2C89EC}"/>
  </w:font>
  <w:font w:name="Calibri">
    <w:panose1 w:val="020F0502020204030204"/>
    <w:charset w:val="00"/>
    <w:family w:val="swiss"/>
    <w:pitch w:val="variable"/>
    <w:sig w:usb0="E4002EFF" w:usb1="C200247B" w:usb2="00000009" w:usb3="00000000" w:csb0="000001FF" w:csb1="00000000"/>
    <w:embedRegular r:id="rId5" w:fontKey="{730F8506-D8E8-4D58-9AB1-2CD79B919A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65A" w:rsidRDefault="00022F3E">
    <w:pPr>
      <w:jc w:val="center"/>
    </w:pPr>
    <w:r>
      <w:rPr>
        <w:color w:val="6B7C82"/>
        <w:sz w:val="16"/>
        <w:szCs w:val="16"/>
      </w:rPr>
      <w:t xml:space="preserve">Corpus fictif · Lab 1 · Pack commun  ·  </w:t>
    </w:r>
    <w:r>
      <w:rPr>
        <w:color w:val="6B7C82"/>
        <w:sz w:val="16"/>
        <w:szCs w:val="16"/>
      </w:rPr>
      <w:fldChar w:fldCharType="begin"/>
    </w:r>
    <w:r>
      <w:rPr>
        <w:color w:val="6B7C82"/>
        <w:sz w:val="16"/>
        <w:szCs w:val="16"/>
      </w:rPr>
      <w:instrText>PAGE</w:instrText>
    </w:r>
    <w:r>
      <w:rPr>
        <w:color w:val="6B7C82"/>
        <w:sz w:val="16"/>
        <w:szCs w:val="16"/>
      </w:rPr>
      <w:fldChar w:fldCharType="separate"/>
    </w:r>
    <w:r w:rsidR="00D520FA">
      <w:rPr>
        <w:noProof/>
        <w:color w:val="6B7C82"/>
        <w:sz w:val="16"/>
        <w:szCs w:val="16"/>
      </w:rPr>
      <w:t>1</w:t>
    </w:r>
    <w:r>
      <w:rPr>
        <w:color w:val="6B7C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2F3E" w:rsidRDefault="00022F3E">
      <w:pPr>
        <w:spacing w:after="0" w:line="240" w:lineRule="auto"/>
      </w:pPr>
      <w:r>
        <w:separator/>
      </w:r>
    </w:p>
  </w:footnote>
  <w:footnote w:type="continuationSeparator" w:id="0">
    <w:p w:rsidR="00022F3E" w:rsidRDefault="00022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E4D4E"/>
    <w:multiLevelType w:val="hybridMultilevel"/>
    <w:tmpl w:val="DBFE6004"/>
    <w:lvl w:ilvl="0" w:tplc="D174E23E">
      <w:start w:val="1"/>
      <w:numFmt w:val="bullet"/>
      <w:lvlText w:val="●"/>
      <w:lvlJc w:val="left"/>
      <w:pPr>
        <w:ind w:left="720" w:hanging="360"/>
      </w:pPr>
    </w:lvl>
    <w:lvl w:ilvl="1" w:tplc="081A2BF6">
      <w:start w:val="1"/>
      <w:numFmt w:val="bullet"/>
      <w:lvlText w:val="○"/>
      <w:lvlJc w:val="left"/>
      <w:pPr>
        <w:ind w:left="1440" w:hanging="360"/>
      </w:pPr>
    </w:lvl>
    <w:lvl w:ilvl="2" w:tplc="05723CEC">
      <w:start w:val="1"/>
      <w:numFmt w:val="bullet"/>
      <w:lvlText w:val="■"/>
      <w:lvlJc w:val="left"/>
      <w:pPr>
        <w:ind w:left="2160" w:hanging="360"/>
      </w:pPr>
    </w:lvl>
    <w:lvl w:ilvl="3" w:tplc="A9ACD670">
      <w:start w:val="1"/>
      <w:numFmt w:val="bullet"/>
      <w:lvlText w:val="●"/>
      <w:lvlJc w:val="left"/>
      <w:pPr>
        <w:ind w:left="2880" w:hanging="360"/>
      </w:pPr>
    </w:lvl>
    <w:lvl w:ilvl="4" w:tplc="21D8DE7A">
      <w:start w:val="1"/>
      <w:numFmt w:val="bullet"/>
      <w:lvlText w:val="○"/>
      <w:lvlJc w:val="left"/>
      <w:pPr>
        <w:ind w:left="3600" w:hanging="360"/>
      </w:pPr>
    </w:lvl>
    <w:lvl w:ilvl="5" w:tplc="A1BE8030">
      <w:start w:val="1"/>
      <w:numFmt w:val="bullet"/>
      <w:lvlText w:val="■"/>
      <w:lvlJc w:val="left"/>
      <w:pPr>
        <w:ind w:left="4320" w:hanging="360"/>
      </w:pPr>
    </w:lvl>
    <w:lvl w:ilvl="6" w:tplc="19E8241C">
      <w:start w:val="1"/>
      <w:numFmt w:val="bullet"/>
      <w:lvlText w:val="●"/>
      <w:lvlJc w:val="left"/>
      <w:pPr>
        <w:ind w:left="5040" w:hanging="360"/>
      </w:pPr>
    </w:lvl>
    <w:lvl w:ilvl="7" w:tplc="B816C974">
      <w:start w:val="1"/>
      <w:numFmt w:val="bullet"/>
      <w:lvlText w:val="●"/>
      <w:lvlJc w:val="left"/>
      <w:pPr>
        <w:ind w:left="5760" w:hanging="360"/>
      </w:pPr>
    </w:lvl>
    <w:lvl w:ilvl="8" w:tplc="24760AE8">
      <w:start w:val="1"/>
      <w:numFmt w:val="bullet"/>
      <w:lvlText w:val="●"/>
      <w:lvlJc w:val="left"/>
      <w:pPr>
        <w:ind w:left="6480" w:hanging="360"/>
      </w:pPr>
    </w:lvl>
  </w:abstractNum>
  <w:abstractNum w:abstractNumId="1" w15:restartNumberingAfterBreak="0">
    <w:nsid w:val="2E356D07"/>
    <w:multiLevelType w:val="hybridMultilevel"/>
    <w:tmpl w:val="D6C03E5C"/>
    <w:lvl w:ilvl="0" w:tplc="A4B08E30">
      <w:start w:val="1"/>
      <w:numFmt w:val="bullet"/>
      <w:lvlText w:val="•"/>
      <w:lvlJc w:val="left"/>
      <w:pPr>
        <w:ind w:left="540" w:hanging="270"/>
      </w:pPr>
    </w:lvl>
    <w:lvl w:ilvl="1" w:tplc="3FDE945A">
      <w:numFmt w:val="decimal"/>
      <w:lvlText w:val=""/>
      <w:lvlJc w:val="left"/>
    </w:lvl>
    <w:lvl w:ilvl="2" w:tplc="BE787C4C">
      <w:numFmt w:val="decimal"/>
      <w:lvlText w:val=""/>
      <w:lvlJc w:val="left"/>
    </w:lvl>
    <w:lvl w:ilvl="3" w:tplc="E23460F8">
      <w:numFmt w:val="decimal"/>
      <w:lvlText w:val=""/>
      <w:lvlJc w:val="left"/>
    </w:lvl>
    <w:lvl w:ilvl="4" w:tplc="5F6AC574">
      <w:numFmt w:val="decimal"/>
      <w:lvlText w:val=""/>
      <w:lvlJc w:val="left"/>
    </w:lvl>
    <w:lvl w:ilvl="5" w:tplc="7D2EF0A4">
      <w:numFmt w:val="decimal"/>
      <w:lvlText w:val=""/>
      <w:lvlJc w:val="left"/>
    </w:lvl>
    <w:lvl w:ilvl="6" w:tplc="5F04A670">
      <w:numFmt w:val="decimal"/>
      <w:lvlText w:val=""/>
      <w:lvlJc w:val="left"/>
    </w:lvl>
    <w:lvl w:ilvl="7" w:tplc="8D4C0494">
      <w:numFmt w:val="decimal"/>
      <w:lvlText w:val=""/>
      <w:lvlJc w:val="left"/>
    </w:lvl>
    <w:lvl w:ilvl="8" w:tplc="DD70CAEC">
      <w:numFmt w:val="decimal"/>
      <w:lvlText w:val=""/>
      <w:lvlJc w:val="left"/>
    </w:lvl>
  </w:abstractNum>
  <w:abstractNum w:abstractNumId="2" w15:restartNumberingAfterBreak="0">
    <w:nsid w:val="7FBF2456"/>
    <w:multiLevelType w:val="hybridMultilevel"/>
    <w:tmpl w:val="747885C0"/>
    <w:lvl w:ilvl="0" w:tplc="84D432BC">
      <w:start w:val="1"/>
      <w:numFmt w:val="decimal"/>
      <w:lvlText w:val="%1."/>
      <w:lvlJc w:val="left"/>
      <w:pPr>
        <w:ind w:left="540" w:hanging="300"/>
      </w:pPr>
    </w:lvl>
    <w:lvl w:ilvl="1" w:tplc="B94C1A88">
      <w:numFmt w:val="decimal"/>
      <w:lvlText w:val=""/>
      <w:lvlJc w:val="left"/>
    </w:lvl>
    <w:lvl w:ilvl="2" w:tplc="3878A824">
      <w:numFmt w:val="decimal"/>
      <w:lvlText w:val=""/>
      <w:lvlJc w:val="left"/>
    </w:lvl>
    <w:lvl w:ilvl="3" w:tplc="DA6AC0DC">
      <w:numFmt w:val="decimal"/>
      <w:lvlText w:val=""/>
      <w:lvlJc w:val="left"/>
    </w:lvl>
    <w:lvl w:ilvl="4" w:tplc="6DD0569E">
      <w:numFmt w:val="decimal"/>
      <w:lvlText w:val=""/>
      <w:lvlJc w:val="left"/>
    </w:lvl>
    <w:lvl w:ilvl="5" w:tplc="432C4CA2">
      <w:numFmt w:val="decimal"/>
      <w:lvlText w:val=""/>
      <w:lvlJc w:val="left"/>
    </w:lvl>
    <w:lvl w:ilvl="6" w:tplc="3A34264A">
      <w:numFmt w:val="decimal"/>
      <w:lvlText w:val=""/>
      <w:lvlJc w:val="left"/>
    </w:lvl>
    <w:lvl w:ilvl="7" w:tplc="5BA091B6">
      <w:numFmt w:val="decimal"/>
      <w:lvlText w:val=""/>
      <w:lvlJc w:val="left"/>
    </w:lvl>
    <w:lvl w:ilvl="8" w:tplc="7F4AE284">
      <w:numFmt w:val="decimal"/>
      <w:lvlText w:val=""/>
      <w:lvlJc w:val="left"/>
    </w:lvl>
  </w:abstractNum>
  <w:num w:numId="1" w16cid:durableId="830368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65A"/>
    <w:rsid w:val="00022F3E"/>
    <w:rsid w:val="00847E90"/>
    <w:rsid w:val="00BF265A"/>
    <w:rsid w:val="00D520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2AB01C-A4FE-4859-9090-EFE36E0F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19"/>
        <w:szCs w:val="19"/>
        <w:lang w:val="fr-FR" w:eastAsia="fr-F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160"/>
      <w:outlineLvl w:val="0"/>
    </w:pPr>
    <w:rPr>
      <w:b/>
      <w:bCs/>
      <w:color w:val="0B3C49"/>
      <w:sz w:val="30"/>
      <w:szCs w:val="30"/>
    </w:rPr>
  </w:style>
  <w:style w:type="paragraph" w:styleId="Titre2">
    <w:name w:val="heading 2"/>
    <w:uiPriority w:val="9"/>
    <w:unhideWhenUsed/>
    <w:qFormat/>
    <w:pPr>
      <w:keepNext/>
      <w:keepLines/>
      <w:spacing w:before="260"/>
      <w:outlineLvl w:val="1"/>
    </w:pPr>
    <w:rPr>
      <w:b/>
      <w:bCs/>
      <w:color w:val="0B3C49"/>
      <w:sz w:val="23"/>
      <w:szCs w:val="23"/>
    </w:rPr>
  </w:style>
  <w:style w:type="paragraph" w:styleId="Titre3">
    <w:name w:val="heading 3"/>
    <w:uiPriority w:val="9"/>
    <w:semiHidden/>
    <w:unhideWhenUsed/>
    <w:qFormat/>
    <w:pPr>
      <w:keepNext/>
      <w:keepLines/>
      <w:spacing w:before="180" w:after="80"/>
      <w:outlineLvl w:val="2"/>
    </w:pPr>
    <w:rPr>
      <w:b/>
      <w:bCs/>
      <w:color w:val="0E8C8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1723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Resume_these</dc:title>
  <dc:creator>Ditoma KEGDIGOMA</dc:creator>
  <cp:lastModifiedBy>Ditoma KEGDIGOMA</cp:lastModifiedBy>
  <cp:revision>2</cp:revision>
  <dcterms:created xsi:type="dcterms:W3CDTF">2026-10-18T13:12:00Z</dcterms:created>
  <dcterms:modified xsi:type="dcterms:W3CDTF">2026-10-18T13:13:00Z</dcterms:modified>
</cp:coreProperties>
</file>