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BROUILLON D'ARTICLE · Lab 1 Rédaction · Piste SHS</w:t>
      </w:r>
    </w:p>
    <w:p>
      <w:pPr>
        <w:pStyle w:val="Heading1"/>
      </w:pPr>
      <w:r>
        <w:t xml:space="preserve">Pourquoi les filles quittent-elles l'école ? Étude qualitative dans la préfecture de la Kozah (région de la Kara)</w:t>
      </w:r>
    </w:p>
    <w:p>
      <w:r>
        <w:rPr>
          <w:i/>
          <w:iCs/>
          <w:color w:val="6B7C82"/>
        </w:rPr>
        <w:t xml:space="preserve">[Notes en vrac – à restructurer]</w:t>
      </w:r>
    </w:p>
    <w:p>
      <w:pPr>
        <w:pStyle w:val="Heading2"/>
      </w:pPr>
      <w:r>
        <w:t xml:space="preserve">Introduction (début)</w:t>
      </w:r>
    </w:p>
    <w:p>
      <w:pPr>
        <w:jc w:val="both"/>
      </w:pPr>
      <w:r>
        <w:t xml:space="preserve">L'éducation des filles est un enjeu majeur pour le développement. Il est bien connu que toutes les filles du Nord abandonnent l'école à cause du mariage précoce (à revoir ?). Le Togo a fait des efforts importants : gratuité de l'enseignement primaire, cantines scolaires. Pourtant, au collège, l'abandon reste élevé chez les filles.</w:t>
      </w:r>
    </w:p>
    <w:p>
      <w:pPr>
        <w:pStyle w:val="Heading2"/>
      </w:pPr>
      <w:r>
        <w:t xml:space="preserve">Résultats (je les mets ici d'abord)</w:t>
      </w:r>
    </w:p>
    <w:p>
      <w:pPr>
        <w:jc w:val="both"/>
      </w:pPr>
      <w:r>
        <w:t xml:space="preserve">Quatre grands facteurs ressortent des entretiens : 1) les contraintes économiques (frais, fournitures, tenue, besoin de main-d'œuvre agricole) ; 2) la charge des travaux domestiques, qui provoque retards et punitions ; 3) les grossesses précoces et la stigmatisation qui empêche le retour à l'école ; 4) la migration vers Lomé ou le Ghana pour le travail domestique.</w:t>
      </w:r>
    </w:p>
    <w:p>
      <w:pPr>
        <w:jc w:val="both"/>
      </w:pPr>
      <w:r>
        <w:t xml:space="preserve">Les mères sont souvent favorables à la scolarisation de leurs filles, mais elles ne contrôlent pas les ressources du ménage. La distance au collège (jusqu'à 7 km) et l'insécurité sur la route jouent aussi. Les cantines ont un effet positif au primaire. Plusieurs filles évoquent des absences pendant les menstruations, faute de protections hygiéniques.</w:t>
      </w:r>
    </w:p>
    <w:p>
      <w:pPr>
        <w:pStyle w:val="Heading2"/>
      </w:pPr>
      <w:r>
        <w:t xml:space="preserve">Méthode</w:t>
      </w:r>
    </w:p>
    <w:p>
      <w:pPr>
        <w:jc w:val="both"/>
      </w:pPr>
      <w:r>
        <w:t xml:space="preserve">Enquête qualitative menée de mars à mai 2025 dans trois villages de la préfecture de la Kozah. 24 entretiens semi-directifs (parents, élèves, anciennes élèves, membres d'associations de parents d'élèves) et observations dans deux collèges. Entretiens en kabiyè et en français, traduits par l'enquêtrice. Analyse thématique.</w:t>
      </w:r>
    </w:p>
    <w:p>
      <w:pPr>
        <w:pStyle w:val="Heading2"/>
      </w:pPr>
      <w:r>
        <w:t xml:space="preserve">Discussion</w:t>
      </w:r>
    </w:p>
    <w:p>
      <w:pPr>
        <w:jc w:val="both"/>
      </w:pPr>
      <w:r>
        <w:t xml:space="preserve">Ces résultats rejoignent la littérature sur l'Afrique de l'Ouest (références à ajouter). Les représentations sur le « retour sur investissement » de l'éducation des filles sont centrales : une fille « part chez son mari ». L'exemple de femmes diplômées qui soutiennent leurs parents fait évoluer ces représentations. Cela montre que la pauvreté est la seule vraie cause de l'abandon.</w:t>
      </w:r>
    </w:p>
    <w:p>
      <w:pPr>
        <w:jc w:val="both"/>
      </w:pPr>
      <w:r>
        <w:t xml:space="preserve">Recommandations : collèges de proximité, kits d'hygiène menstruelle, implication des mères dans les bureaux d'APE, accompagnement des jeunes mères pour le retour à l'école.</w:t>
      </w:r>
    </w:p>
    <w:p>
      <w:pPr>
        <w:pStyle w:val="Heading2"/>
      </w:pPr>
      <w:r>
        <w:t xml:space="preserve">Limites</w:t>
      </w:r>
    </w:p>
    <w:p>
      <w:pPr>
        <w:jc w:val="both"/>
      </w:pPr>
      <w:r>
        <w:t xml:space="preserve">Petit échantillon, une seule préfecture. [à développer]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 1 · SHS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Brouillon_article</dc:title>
  <dc:creator>Ditoma KEGDIGOMA</dc:creator>
  <cp:lastModifiedBy>Un-named</cp:lastModifiedBy>
  <cp:revision>1</cp:revision>
  <dcterms:created xsi:type="dcterms:W3CDTF">2026-10-17T17:11:39.180Z</dcterms:created>
  <dcterms:modified xsi:type="dcterms:W3CDTF">2026-10-17T17:11:39.187Z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