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color w:val="6B7C82"/>
          <w:sz w:val="16"/>
          <w:szCs w:val="16"/>
        </w:rPr>
        <w:t xml:space="preserve">CORPUS FICTIF · Formation IA femmes chercheures · Module M4-nonIT. Les personnes, lieux précis et données sont inventés à des fins pédagogiques.</w:t>
      </w:r>
    </w:p>
    <w:p>
      <w:pPr>
        <w:spacing w:after="60"/>
      </w:pPr>
      <w:r/>
    </w:p>
    <w:p>
      <w:r>
        <w:rPr>
          <w:b/>
          <w:bCs/>
          <w:color w:val="E0A526"/>
          <w:sz w:val="18"/>
          <w:szCs w:val="18"/>
        </w:rPr>
        <w:t xml:space="preserve">BROUILLON D'ARTICLE · Lab 1 Rédaction · Piste Santé</w:t>
      </w:r>
    </w:p>
    <w:p>
      <w:pPr>
        <w:pStyle w:val="Heading1"/>
      </w:pPr>
      <w:r>
        <w:t xml:space="preserve">Observance thérapeutique chez les patients diabétiques de type 2 suivis en consultation externe dans un CHU de Lomé</w:t>
      </w:r>
    </w:p>
    <w:p>
      <w:r>
        <w:rPr>
          <w:i/>
          <w:iCs/>
          <w:color w:val="6B7C82"/>
        </w:rPr>
        <w:t xml:space="preserve">[Brouillon – version 0.3 – à restructurer]</w:t>
      </w:r>
    </w:p>
    <w:p>
      <w:pPr>
        <w:pStyle w:val="Heading2"/>
      </w:pPr>
      <w:r>
        <w:t xml:space="preserve">Résultats (rédigés en premier)</w:t>
      </w:r>
    </w:p>
    <w:p>
      <w:pPr>
        <w:jc w:val="both"/>
      </w:pPr>
      <w:r>
        <w:t xml:space="preserve">180 patients ont été inclus. Âge moyen : 57 ans ; 58 % de femmes. L'observance était bonne chez 38 % des patients (score ≥ 6 sur l'échelle d'observance à 8 items). [XX] % déclarent utiliser des plantes médicinales en parallèle du traitement (chiffre à vérifier, 41 % ?).</w:t>
      </w:r>
    </w:p>
    <w:p>
      <w:pPr>
        <w:jc w:val="both"/>
      </w:pPr>
      <w:r>
        <w:t xml:space="preserve">Les facteurs associés à une mauvaise observance sont : le coût mensuel du traitement (p &lt; 0,01), une distance domicile–hôpital supérieure à 20 km (p = 0,03) et l'absence d'assurance maladie (p &lt; 0,01). L'âge et le sexe ne sont pas associés à l'observance.</w:t>
      </w:r>
    </w:p>
    <w:p>
      <w:pPr>
        <w:pStyle w:val="Heading2"/>
      </w:pPr>
      <w:r>
        <w:t xml:space="preserve">Introduction</w:t>
      </w:r>
    </w:p>
    <w:p>
      <w:pPr>
        <w:jc w:val="both"/>
      </w:pPr>
      <w:r>
        <w:t xml:space="preserve">Le diabète progresse rapidement en Afrique subsaharienne. L'observance thérapeutique est un déterminant clé de l'équilibre glycémique et de la prévention des complications. Il existe peu de données sur ce sujet au Togo.</w:t>
      </w:r>
    </w:p>
    <w:p>
      <w:pPr>
        <w:pStyle w:val="Heading2"/>
      </w:pPr>
      <w:r>
        <w:t xml:space="preserve">Méthode</w:t>
      </w:r>
    </w:p>
    <w:p>
      <w:pPr>
        <w:jc w:val="both"/>
      </w:pPr>
      <w:r>
        <w:t xml:space="preserve">Étude transversale descriptive et analytique, de janvier à juin 2025. Patients diabétiques de type 2 suivis depuis au moins 6 mois. Questionnaire administré en face à face et échelle d'observance à 8 items. Analyse par régression logistique.</w:t>
      </w:r>
    </w:p>
    <w:p>
      <w:pPr>
        <w:pStyle w:val="Heading2"/>
      </w:pPr>
      <w:r>
        <w:t xml:space="preserve">Discussion</w:t>
      </w:r>
    </w:p>
    <w:p>
      <w:pPr>
        <w:jc w:val="both"/>
      </w:pPr>
      <w:r>
        <w:t xml:space="preserve">La phytothérapie provoque la mauvaise observance (à reformuler ?). Le coût apparaît comme le principal obstacle, comme dans d'autres pays de la sous-région (références à ajouter). Pistes : prescription en DCI de génériques moins chers, rappels par SMS, éducation thérapeutique en langues locales, regroupement des rendez-vous pour les patients éloignés.</w:t>
      </w:r>
    </w:p>
    <w:p>
      <w:pPr>
        <w:pStyle w:val="Heading2"/>
      </w:pPr>
      <w:r>
        <w:t xml:space="preserve">Limites</w:t>
      </w:r>
    </w:p>
    <w:p>
      <w:pPr>
        <w:jc w:val="both"/>
      </w:pPr>
      <w:r>
        <w:t xml:space="preserve">Étude monocentrique ; observance déclarative. [à compléter]</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2"/>
        <w:sz w:val="16"/>
        <w:szCs w:val="16"/>
      </w:rPr>
      <w:t xml:space="preserve">Corpus fictif · Lab 1 · Santé  ·  </w:t>
    </w:r>
    <w:r>
      <w:rPr>
        <w:color w:val="6B7C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Poppins" w:cs="Poppins" w:eastAsia="Poppins" w:hAnsi="Poppins"/>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0B3C49"/>
      <w:sz w:val="30"/>
      <w:szCs w:val="30"/>
      <w:rFonts w:ascii="Poppins" w:cs="Poppins" w:eastAsia="Poppins" w:hAnsi="Poppins"/>
    </w:rPr>
  </w:style>
  <w:style w:type="paragraph" w:styleId="Heading2">
    <w:name w:val="Heading 2"/>
    <w:basedOn w:val="Normal"/>
    <w:next w:val="Normal"/>
    <w:qFormat/>
    <w:pPr>
      <w:keepNext/>
      <w:keepLines/>
      <w:spacing w:before="260" w:after="100"/>
      <w:outlineLvl w:val="1"/>
    </w:pPr>
    <w:rPr>
      <w:b/>
      <w:bCs/>
      <w:color w:val="0B3C49"/>
      <w:sz w:val="23"/>
      <w:szCs w:val="23"/>
      <w:rFonts w:ascii="Poppins" w:cs="Poppins" w:eastAsia="Poppins" w:hAnsi="Poppins"/>
    </w:rPr>
  </w:style>
  <w:style w:type="paragraph" w:styleId="Heading3">
    <w:name w:val="Heading 3"/>
    <w:basedOn w:val="Normal"/>
    <w:next w:val="Normal"/>
    <w:qFormat/>
    <w:pPr>
      <w:keepNext/>
      <w:keepLines/>
      <w:spacing w:before="180" w:after="80"/>
      <w:outlineLvl w:val="2"/>
    </w:pPr>
    <w:rPr>
      <w:b/>
      <w:bCs/>
      <w:color w:val="0E8C8C"/>
      <w:sz w:val="19"/>
      <w:szCs w:val="19"/>
      <w:rFonts w:ascii="Poppins" w:cs="Poppins" w:eastAsia="Poppins" w:hAnsi="Poppi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bl"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Brouillon_article</dc:title>
  <dc:creator>Ditoma KEGDIGOMA</dc:creator>
  <cp:lastModifiedBy>Un-named</cp:lastModifiedBy>
  <cp:revision>1</cp:revision>
  <dcterms:created xsi:type="dcterms:W3CDTF">2026-10-17T17:11:39.267Z</dcterms:created>
  <dcterms:modified xsi:type="dcterms:W3CDTF">2026-10-17T17:11:39.267Z</dcterms:modified>
</cp:coreProperties>
</file>

<file path=docProps/custom.xml><?xml version="1.0" encoding="utf-8"?>
<Properties xmlns="http://schemas.openxmlformats.org/officeDocument/2006/custom-properties" xmlns:vt="http://schemas.openxmlformats.org/officeDocument/2006/docPropsVTypes"/>
</file>