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6D54CF" w:rsidRDefault="004C078F">
      <w:r>
        <w:rPr>
          <w:b/>
          <w:bCs/>
          <w:color w:val="E0A526"/>
          <w:sz w:val="20"/>
          <w:szCs w:val="20"/>
        </w:rPr>
        <w:t>FORMATION INTERMÉDIAIRE ET AVANCÉE EN IA POUR LES FEMMES CHERCHEURES · VOLET NON-IT</w:t>
      </w:r>
    </w:p>
    <w:p w:rsidR="006D54CF" w:rsidRDefault="004C078F">
      <w:pPr>
        <w:spacing w:after="60"/>
      </w:pPr>
      <w:r>
        <w:rPr>
          <w:b/>
          <w:bCs/>
          <w:color w:val="0B3C49"/>
          <w:sz w:val="40"/>
          <w:szCs w:val="40"/>
        </w:rPr>
        <w:t>Fiche pédagogique du module M4-nonIT</w:t>
      </w:r>
    </w:p>
    <w:p w:rsidR="006D54CF" w:rsidRDefault="004C078F">
      <w:pPr>
        <w:spacing w:after="240"/>
      </w:pPr>
      <w:r>
        <w:rPr>
          <w:color w:val="0B3C49"/>
          <w:sz w:val="26"/>
          <w:szCs w:val="26"/>
        </w:rPr>
        <w:t>IA générative appliquée à la recherche : rédaction scientifique, analyse qualitative, traduction</w:t>
      </w:r>
    </w:p>
    <w:p w:rsidR="006D54CF" w:rsidRDefault="004C078F">
      <w:pPr>
        <w:pStyle w:val="Titre2"/>
      </w:pPr>
      <w:r>
        <w:t>1. Identification</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Module</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M4-nonIT · IA générative appliquée</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Jour</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Jour 4 · parcours non-IT (ateliers séparés)</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Durée</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8h00 – 17h00, soit 6h45 de formation hors pauses et déjeuner</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Lieu</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UniPod, Université de Lomé</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Formateur</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Ditoma KEGDIGOMA</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Langue</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Français (termes techniques et exercices de traduction en anglais)</w:t>
            </w:r>
          </w:p>
        </w:tc>
      </w:tr>
    </w:tbl>
    <w:p w:rsidR="006D54CF" w:rsidRDefault="004C078F">
      <w:pPr>
        <w:pStyle w:val="Titre2"/>
      </w:pPr>
      <w:r>
        <w:t>2. Place dans le parcours</w:t>
      </w:r>
    </w:p>
    <w:p w:rsidR="006D54CF" w:rsidRDefault="004C078F">
      <w:r>
        <w:t>Le module s'appuie sur le J2 (IA pour la recherche documentaire) et le J3 (outils no-code). Il prépare directement le J5 : chaque participante y construit la base de son cas d'usage personnel, présenté en séance commune.</w:t>
      </w:r>
    </w:p>
    <w:p w:rsidR="006D54CF" w:rsidRDefault="004C078F">
      <w:pPr>
        <w:pStyle w:val="Titre2"/>
      </w:pPr>
      <w:r>
        <w:t>3. Public et prérequis</w:t>
      </w:r>
    </w:p>
    <w:p w:rsidR="006D54CF" w:rsidRDefault="004C078F">
      <w:r>
        <w:t>Doctorantes du volet non-IT : sciences humaines et sociales (sociologie, psychologie, histoire, géographie, éducation, économie, lettres, droit), santé (médecine, pharmacie, biomédical) et sciences du vivant et de l'environnement. Le groupe est hétérogène par la discipline, l'année de thèse et l'aisance avec le numérique.</w:t>
      </w:r>
    </w:p>
    <w:p w:rsidR="006D54CF" w:rsidRDefault="004C078F">
      <w:r>
        <w:rPr>
          <w:b/>
          <w:bCs/>
        </w:rPr>
        <w:t xml:space="preserve">Prérequis : </w:t>
      </w:r>
      <w:r>
        <w:t>aucune compétence en programmation. Savoir utiliser un navigateur web ; disposer d'un ordinateur portable et d'un compte Google.</w:t>
      </w:r>
    </w:p>
    <w:p w:rsidR="006D54CF" w:rsidRDefault="004C078F">
      <w:pPr>
        <w:pStyle w:val="Titre2"/>
      </w:pPr>
      <w:r>
        <w:t>4. Objectifs</w:t>
      </w:r>
    </w:p>
    <w:p w:rsidR="006D54CF" w:rsidRDefault="004C078F">
      <w:r>
        <w:rPr>
          <w:b/>
          <w:bCs/>
        </w:rPr>
        <w:t xml:space="preserve">Objectif général : </w:t>
      </w:r>
      <w:r>
        <w:t>utiliser l'IA générative de façon efficace, critique et éthique pour la rédaction, l'analyse qualitative et la traduction scientifiques.</w:t>
      </w:r>
    </w:p>
    <w:p w:rsidR="006D54CF" w:rsidRDefault="004C078F">
      <w:r>
        <w:rPr>
          <w:b/>
          <w:bCs/>
        </w:rPr>
        <w:t>À l'issue du module, la participante sera capable de :</w:t>
      </w:r>
    </w:p>
    <w:p w:rsidR="006D54CF" w:rsidRDefault="004C078F">
      <w:pPr>
        <w:pStyle w:val="Paragraphedeliste"/>
        <w:numPr>
          <w:ilvl w:val="0"/>
          <w:numId w:val="2"/>
        </w:numPr>
      </w:pPr>
      <w:r>
        <w:t>formuler des prompts structurés (méthode Rôle-Contexte-Tâche-Format) pour des tâches de rédaction scientifique ;</w:t>
      </w:r>
    </w:p>
    <w:p w:rsidR="006D54CF" w:rsidRDefault="004C078F">
      <w:pPr>
        <w:pStyle w:val="Paragraphedeliste"/>
        <w:numPr>
          <w:ilvl w:val="0"/>
          <w:numId w:val="2"/>
        </w:numPr>
      </w:pPr>
      <w:r>
        <w:t>améliorer le résumé de sa thèse avec l'IA, en vérifiant l'exactitude de chaque affirmation, et répondre aux critiques d'un relecteur ;</w:t>
      </w:r>
    </w:p>
    <w:p w:rsidR="006D54CF" w:rsidRDefault="004C078F">
      <w:pPr>
        <w:pStyle w:val="Paragraphedeliste"/>
        <w:numPr>
          <w:ilvl w:val="0"/>
          <w:numId w:val="2"/>
        </w:numPr>
      </w:pPr>
      <w:r>
        <w:lastRenderedPageBreak/>
        <w:t>distinguer les principaux assistants IA (Gemini Notebook, Gemini, Claude, Grok) et choisir le plus adapté à une tâche de recherche ;</w:t>
      </w:r>
    </w:p>
    <w:p w:rsidR="006D54CF" w:rsidRDefault="004C078F">
      <w:pPr>
        <w:pStyle w:val="Paragraphedeliste"/>
        <w:numPr>
          <w:ilvl w:val="0"/>
          <w:numId w:val="2"/>
        </w:numPr>
      </w:pPr>
      <w:r>
        <w:t>rechercher et vérifier des références avec des moteurs académiques assistés par IA (Semantic Scholar, Consensus…) ;</w:t>
      </w:r>
    </w:p>
    <w:p w:rsidR="006D54CF" w:rsidRDefault="004C078F">
      <w:pPr>
        <w:pStyle w:val="Paragraphedeliste"/>
        <w:numPr>
          <w:ilvl w:val="0"/>
          <w:numId w:val="2"/>
        </w:numPr>
      </w:pPr>
      <w:r>
        <w:t>construire un système RAG sur ses propres documents avec Gemini Notebook et l'interroger avec des citations vérifiables ;</w:t>
      </w:r>
    </w:p>
    <w:p w:rsidR="006D54CF" w:rsidRDefault="004C078F">
      <w:pPr>
        <w:pStyle w:val="Paragraphedeliste"/>
        <w:numPr>
          <w:ilvl w:val="0"/>
          <w:numId w:val="2"/>
        </w:numPr>
      </w:pPr>
      <w:r>
        <w:t>construire une matrice de synthèse de sa bibliographie de thèse grâce au RAG, en vérifiant les pages citées ;</w:t>
      </w:r>
    </w:p>
    <w:p w:rsidR="006D54CF" w:rsidRDefault="004C078F">
      <w:pPr>
        <w:pStyle w:val="Paragraphedeliste"/>
        <w:numPr>
          <w:ilvl w:val="0"/>
          <w:numId w:val="2"/>
        </w:numPr>
      </w:pPr>
      <w:r>
        <w:t>utiliser ce RAG pour assister un codage thématique, et en évaluer les résultats de façon critique ;</w:t>
      </w:r>
    </w:p>
    <w:p w:rsidR="006D54CF" w:rsidRDefault="004C078F">
      <w:pPr>
        <w:pStyle w:val="Paragraphedeliste"/>
        <w:numPr>
          <w:ilvl w:val="0"/>
          <w:numId w:val="2"/>
        </w:numPr>
      </w:pPr>
      <w:r>
        <w:t>traduire un résumé du français vers l'anglais par post-édition (glossaire, rétro-traduction, relecture) ;</w:t>
      </w:r>
    </w:p>
    <w:p w:rsidR="006D54CF" w:rsidRDefault="004C078F">
      <w:pPr>
        <w:pStyle w:val="Paragraphedeliste"/>
        <w:numPr>
          <w:ilvl w:val="0"/>
          <w:numId w:val="2"/>
        </w:numPr>
      </w:pPr>
      <w:r>
        <w:t>expliquer ce qu'est un agent IA, configurer un assistant personnalisé et piloter un agent de recherche avec des garde-fous ;</w:t>
      </w:r>
    </w:p>
    <w:p w:rsidR="006D54CF" w:rsidRDefault="004C078F">
      <w:pPr>
        <w:pStyle w:val="Paragraphedeliste"/>
        <w:numPr>
          <w:ilvl w:val="0"/>
          <w:numId w:val="2"/>
        </w:numPr>
      </w:pPr>
      <w:r>
        <w:t>appliquer les règles de confidentialité des données et d'intégrité scientifique liées à l'usage de l'IA, et rédiger sa charte personnelle d'usage de l'IA pour la thèse.</w:t>
      </w:r>
    </w:p>
    <w:p w:rsidR="006D54CF" w:rsidRDefault="004C078F">
      <w:pPr>
        <w:pStyle w:val="Titre2"/>
      </w:pPr>
      <w:r>
        <w:t>5. Contenus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700"/>
        <w:gridCol w:w="6938"/>
      </w:tblGrid>
      <w:tr w:rsidR="006D54CF">
        <w:tblPrEx>
          <w:tblCellMar>
            <w:top w:w="0" w:type="dxa"/>
            <w:bottom w:w="0" w:type="dxa"/>
          </w:tblCellMar>
        </w:tblPrEx>
        <w:trPr>
          <w:cantSplit/>
          <w:tblHeader/>
        </w:trPr>
        <w:tc>
          <w:tcPr>
            <w:tcW w:w="27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6D54CF" w:rsidRDefault="004C078F">
            <w:r>
              <w:rPr>
                <w:b/>
                <w:bCs/>
                <w:color w:val="FFFFFF"/>
              </w:rPr>
              <w:t>Capsule</w:t>
            </w:r>
          </w:p>
        </w:tc>
        <w:tc>
          <w:tcPr>
            <w:tcW w:w="69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6D54CF" w:rsidRDefault="004C078F">
            <w:r>
              <w:rPr>
                <w:b/>
                <w:bCs/>
                <w:color w:val="FFFFFF"/>
              </w:rPr>
              <w:t>Contenus</w:t>
            </w:r>
          </w:p>
        </w:tc>
      </w:tr>
      <w:tr w:rsidR="006D54CF">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T1 · Comment « pense » une IA</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Définition de l'IA générative et des LLM, parcours d'une question (user flow), prédiction du mot suivant, hallucinations, fenêtre de contexte, confidentialité</w:t>
            </w:r>
          </w:p>
        </w:tc>
      </w:tr>
      <w:tr w:rsidR="006D54CF">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Panorama des outils</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Gemini Notebook, Gemini, Claude, Grok : forces, limites, versions gratuites ; quel outil pour quelle tâche</w:t>
            </w:r>
          </w:p>
        </w:tc>
      </w:tr>
      <w:tr w:rsidR="006D54CF">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R · Recherche assistée par IA</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Chatbot ou moteur académique ; Semantic Scholar, Consensus, Elicit, ResearchRabbit, SciSpace, Scite ; Deep Research ; vérification des références</w:t>
            </w:r>
          </w:p>
        </w:tc>
      </w:tr>
      <w:tr w:rsidR="006D54CF">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T2 · L'art de bien demander</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Méthode R-C-T-F, itération, exemples, intégrité scientifique dans la thèse (règles de l'école doctorale, déclaration, responsabilité, plagiat)</w:t>
            </w:r>
          </w:p>
        </w:tc>
      </w:tr>
      <w:tr w:rsidR="006D54CF">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T3 · RAG et analyse qualitative</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Fonctionnement d'un RAG, Gemini Notebook pas à pas (sources, questions, Studio), codage thématique assisté, limites culturelles et linguistiques, éthique des données d'enquête</w:t>
            </w:r>
          </w:p>
        </w:tc>
      </w:tr>
      <w:tr w:rsidR="006D54CF">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T4 · Traduire avec l'IA</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Outils comparés, faux-amis du français scientifique, post-édition</w:t>
            </w:r>
          </w:p>
        </w:tc>
      </w:tr>
      <w:tr w:rsidR="006D54CF">
        <w:tblPrEx>
          <w:tblCellMar>
            <w:top w:w="0" w:type="dxa"/>
            <w:bottom w:w="0" w:type="dxa"/>
          </w:tblCellMar>
        </w:tblPrEx>
        <w:trPr>
          <w:cantSplit/>
        </w:trPr>
        <w:tc>
          <w:tcPr>
            <w:tcW w:w="27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lastRenderedPageBreak/>
              <w:t>T5 · IA agentique</w:t>
            </w:r>
          </w:p>
        </w:tc>
        <w:tc>
          <w:tcPr>
            <w:tcW w:w="69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Définition et boucle d'un agent (planifier, agir, observer, ajuster), agents accessibles (Deep Research, recherche de sources), niveaux d'autonomie, risques et garde-fous, assistants personnalisés</w:t>
            </w:r>
          </w:p>
        </w:tc>
      </w:tr>
    </w:tbl>
    <w:p w:rsidR="006D54CF" w:rsidRDefault="004C078F">
      <w:pPr>
        <w:pStyle w:val="Titre2"/>
      </w:pPr>
      <w:r>
        <w:t>6. Méthodes pédagogiques</w:t>
      </w:r>
    </w:p>
    <w:p w:rsidR="006D54CF" w:rsidRDefault="004C078F">
      <w:pPr>
        <w:pStyle w:val="Paragraphedeliste"/>
        <w:numPr>
          <w:ilvl w:val="0"/>
          <w:numId w:val="3"/>
        </w:numPr>
      </w:pPr>
      <w:r>
        <w:t>Environ 60 % de pratique guidée et 40 % de théorie illustrée, conformément à l'approche retenue pour le volet non-IT.</w:t>
      </w:r>
    </w:p>
    <w:p w:rsidR="006D54CF" w:rsidRDefault="004C078F">
      <w:pPr>
        <w:pStyle w:val="Paragraphedeliste"/>
        <w:numPr>
          <w:ilvl w:val="0"/>
          <w:numId w:val="3"/>
        </w:numPr>
      </w:pPr>
      <w:r>
        <w:t>Cinq capsules théoriques courtes, chacune suivie immédiatement d'un lab d'application et d'une mise en commun.</w:t>
      </w:r>
    </w:p>
    <w:p w:rsidR="006D54CF" w:rsidRDefault="004C078F">
      <w:pPr>
        <w:pStyle w:val="Paragraphedeliste"/>
        <w:numPr>
          <w:ilvl w:val="0"/>
          <w:numId w:val="3"/>
        </w:numPr>
      </w:pPr>
      <w:r>
        <w:t>Études de cas par discipline : trois pistes au choix (SHS, santé, sciences et environnement), construites à partir des profils des participantes.</w:t>
      </w:r>
    </w:p>
    <w:p w:rsidR="006D54CF" w:rsidRDefault="004C078F">
      <w:pPr>
        <w:pStyle w:val="Paragraphedeliste"/>
        <w:numPr>
          <w:ilvl w:val="0"/>
          <w:numId w:val="3"/>
        </w:numPr>
      </w:pPr>
      <w:r>
        <w:t>Deux niveaux par exercice (Base et Défi) pour tenir compte de l'hétérogénéité du groupe.</w:t>
      </w:r>
    </w:p>
    <w:p w:rsidR="006D54CF" w:rsidRDefault="004C078F">
      <w:pPr>
        <w:pStyle w:val="Paragraphedeliste"/>
        <w:numPr>
          <w:ilvl w:val="0"/>
          <w:numId w:val="3"/>
        </w:numPr>
      </w:pPr>
      <w:r>
        <w:t>Les participantes travaillent sur leur propre thèse (résumé, articles publiés de leur bibliographie). Des corpus fictifs et des documents publics servent de solution de repli. Aucune donnée sensible n'est utilisée.</w:t>
      </w:r>
    </w:p>
    <w:p w:rsidR="006D54CF" w:rsidRDefault="004C078F">
      <w:pPr>
        <w:pStyle w:val="Titre2"/>
      </w:pPr>
      <w:r>
        <w:t>7. Déroulé synthétique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000"/>
        <w:gridCol w:w="5138"/>
        <w:gridCol w:w="2500"/>
      </w:tblGrid>
      <w:tr w:rsidR="006D54CF">
        <w:tblPrEx>
          <w:tblCellMar>
            <w:top w:w="0" w:type="dxa"/>
            <w:bottom w:w="0" w:type="dxa"/>
          </w:tblCellMar>
        </w:tblPrEx>
        <w:trPr>
          <w:cantSplit/>
          <w:tblHeader/>
        </w:trPr>
        <w:tc>
          <w:tcPr>
            <w:tcW w:w="20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6D54CF" w:rsidRDefault="004C078F">
            <w:r>
              <w:rPr>
                <w:b/>
                <w:bCs/>
                <w:color w:val="FFFFFF"/>
              </w:rPr>
              <w:t>Horaire</w:t>
            </w:r>
          </w:p>
        </w:tc>
        <w:tc>
          <w:tcPr>
            <w:tcW w:w="5138"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6D54CF" w:rsidRDefault="004C078F">
            <w:r>
              <w:rPr>
                <w:b/>
                <w:bCs/>
                <w:color w:val="FFFFFF"/>
              </w:rPr>
              <w:t>Activité</w:t>
            </w:r>
          </w:p>
        </w:tc>
        <w:tc>
          <w:tcPr>
            <w:tcW w:w="2500" w:type="dxa"/>
            <w:tcBorders>
              <w:top w:val="single" w:sz="4" w:space="0" w:color="B9C9CC"/>
              <w:left w:val="single" w:sz="4" w:space="0" w:color="B9C9CC"/>
              <w:bottom w:val="single" w:sz="4" w:space="0" w:color="B9C9CC"/>
              <w:right w:val="single" w:sz="4" w:space="0" w:color="B9C9CC"/>
            </w:tcBorders>
            <w:shd w:val="clear" w:color="auto" w:fill="0B3C49"/>
            <w:tcMar>
              <w:top w:w="80" w:type="dxa"/>
              <w:left w:w="120" w:type="dxa"/>
              <w:bottom w:w="80" w:type="dxa"/>
              <w:right w:w="120" w:type="dxa"/>
            </w:tcMar>
          </w:tcPr>
          <w:p w:rsidR="006D54CF" w:rsidRDefault="004C078F">
            <w:r>
              <w:rPr>
                <w:b/>
                <w:bCs/>
                <w:color w:val="FFFFFF"/>
              </w:rPr>
              <w:t>Type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8h00 – 8h20</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Ouverture, objectifs, quiz, choix des pistes</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8h20 – 9h00</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T1 · Comment « pense » une IA</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Théorie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9h00 – 10h05</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Panorama des outils + Lab 0 · Prise en main et piège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Théorie + pratique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10h20 – 10h40</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La recherche scientifique assistée par IA</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Théorie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10h40 – 12h00</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T2 + Lab 1 · Rédaction scientifique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Théorie + pratique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13h00 – 13h55</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T3 · RAG + Lab 2 · Un RAG sur votre bibliographie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Théorie + pratique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13h55 – 14h50</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Lab 3 · Analyse qualitative</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Pratique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15h05 – 15h55</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T4 + Lab 4 · Traduction FR → EN</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Théorie + pratique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15h55 – 16h45</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T5 · IA agentique + Lab 5 · Assistant ou agent</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Théorie + pratique</w:t>
            </w:r>
          </w:p>
        </w:tc>
      </w:tr>
      <w:tr w:rsidR="006D54CF">
        <w:tblPrEx>
          <w:tblCellMar>
            <w:top w:w="0" w:type="dxa"/>
            <w:bottom w:w="0" w:type="dxa"/>
          </w:tblCellMar>
        </w:tblPrEx>
        <w:trPr>
          <w:cantSplit/>
        </w:trPr>
        <w:tc>
          <w:tcPr>
            <w:tcW w:w="2000" w:type="dxa"/>
            <w:tcBorders>
              <w:top w:val="single" w:sz="4" w:space="0" w:color="B9C9CC"/>
              <w:left w:val="single" w:sz="4" w:space="0" w:color="B9C9CC"/>
              <w:bottom w:val="single" w:sz="4" w:space="0" w:color="B9C9CC"/>
              <w:right w:val="single" w:sz="4" w:space="0" w:color="B9C9CC"/>
            </w:tcBorders>
            <w:shd w:val="clear" w:color="auto" w:fill="EAF3F2"/>
            <w:tcMar>
              <w:top w:w="80" w:type="dxa"/>
              <w:left w:w="120" w:type="dxa"/>
              <w:bottom w:w="80" w:type="dxa"/>
              <w:right w:w="120" w:type="dxa"/>
            </w:tcMar>
          </w:tcPr>
          <w:p w:rsidR="006D54CF" w:rsidRDefault="004C078F">
            <w:r>
              <w:rPr>
                <w:b/>
                <w:bCs/>
              </w:rPr>
              <w:t>16h45 – 17h00</w:t>
            </w:r>
          </w:p>
        </w:tc>
        <w:tc>
          <w:tcPr>
            <w:tcW w:w="51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Clôture, évaluation, consignes du J5</w:t>
            </w:r>
          </w:p>
        </w:tc>
        <w:tc>
          <w:tcPr>
            <w:tcW w:w="25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w:t>
            </w:r>
          </w:p>
        </w:tc>
      </w:tr>
    </w:tbl>
    <w:p w:rsidR="006D54CF" w:rsidRDefault="004C078F">
      <w:r>
        <w:rPr>
          <w:i/>
          <w:iCs/>
          <w:color w:val="6B7C82"/>
        </w:rPr>
        <w:t>Pauses : 10h05 – 10h20 et 14h50 – 15h05 · Déjeuner : 12h00 – 13h00 · Environ 61 % de pratique et 39 % de théorie</w:t>
      </w:r>
    </w:p>
    <w:p w:rsidR="006D54CF" w:rsidRDefault="004C078F">
      <w:pPr>
        <w:pStyle w:val="Titre2"/>
      </w:pPr>
      <w:r>
        <w:t>8. Évaluation</w:t>
      </w:r>
    </w:p>
    <w:p w:rsidR="006D54CF" w:rsidRDefault="004C078F">
      <w:r>
        <w:t>Exercice guidé du J4 (conformément aux TDR) : les fiches 0 à 5 du cahier de labs, notées sur 20 selon une grille centrée sur la démarche de vérification. La fiche 5 sert de base à la présentation du cas d'usage personnel au J5.</w:t>
      </w:r>
    </w:p>
    <w:p w:rsidR="006D54CF" w:rsidRDefault="004C078F">
      <w:pPr>
        <w:pStyle w:val="Titre2"/>
      </w:pPr>
      <w:r>
        <w:t>9. Productions des participantes</w:t>
      </w:r>
    </w:p>
    <w:p w:rsidR="006D54CF" w:rsidRDefault="004C078F">
      <w:pPr>
        <w:pStyle w:val="Paragraphedeliste"/>
        <w:numPr>
          <w:ilvl w:val="0"/>
          <w:numId w:val="3"/>
        </w:numPr>
      </w:pPr>
      <w:r>
        <w:t>le résumé de sa thèse, amélioré et vérifié ;</w:t>
      </w:r>
    </w:p>
    <w:p w:rsidR="006D54CF" w:rsidRDefault="004C078F">
      <w:pPr>
        <w:pStyle w:val="Paragraphedeliste"/>
        <w:numPr>
          <w:ilvl w:val="0"/>
          <w:numId w:val="3"/>
        </w:numPr>
      </w:pPr>
      <w:r>
        <w:t>une matrice de synthèse de sa bibliographie de thèse, vérifiée dans un carnet RAG ;</w:t>
      </w:r>
    </w:p>
    <w:p w:rsidR="006D54CF" w:rsidRDefault="004C078F">
      <w:pPr>
        <w:pStyle w:val="Paragraphedeliste"/>
        <w:numPr>
          <w:ilvl w:val="0"/>
          <w:numId w:val="3"/>
        </w:numPr>
      </w:pPr>
      <w:r>
        <w:t>une analyse thématique comparée (codage humain et codage assisté) ;</w:t>
      </w:r>
    </w:p>
    <w:p w:rsidR="006D54CF" w:rsidRDefault="004C078F">
      <w:pPr>
        <w:pStyle w:val="Paragraphedeliste"/>
        <w:numPr>
          <w:ilvl w:val="0"/>
          <w:numId w:val="3"/>
        </w:numPr>
      </w:pPr>
      <w:r>
        <w:t>un abstract en anglais avec son glossaire ;</w:t>
      </w:r>
    </w:p>
    <w:p w:rsidR="006D54CF" w:rsidRDefault="004C078F">
      <w:pPr>
        <w:pStyle w:val="Paragraphedeliste"/>
        <w:numPr>
          <w:ilvl w:val="0"/>
          <w:numId w:val="3"/>
        </w:numPr>
      </w:pPr>
      <w:r>
        <w:t>un assistant de thèse personnalisé et une charte personnelle d'usage de l'IA ;</w:t>
      </w:r>
    </w:p>
    <w:p w:rsidR="006D54CF" w:rsidRDefault="004C078F">
      <w:pPr>
        <w:pStyle w:val="Paragraphedeliste"/>
        <w:numPr>
          <w:ilvl w:val="0"/>
          <w:numId w:val="3"/>
        </w:numPr>
      </w:pPr>
      <w:r>
        <w:t>la trame de son cas d'usage pour le J5.</w:t>
      </w:r>
    </w:p>
    <w:p w:rsidR="006D54CF" w:rsidRDefault="004C078F">
      <w:pPr>
        <w:pStyle w:val="Titre2"/>
      </w:pPr>
      <w:r>
        <w:t>10. Supports et ressources</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00"/>
        <w:gridCol w:w="6838"/>
      </w:tblGrid>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Supports remis</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Présentation (PowerPoint), cahier de labs, corpus fictifs par piste (brouillons d'articles et entretiens), vidéothèque de 24 vidéos en français</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Pack commun (accès libre)</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12 articles, dont 5 en français, sur les femmes dans la recherche scientifique en Afrique (PLoS ONE, Higher Education, Wellcome Open Research, Kurukan Fuga…) et un résumé de thèse fictif. Pour aller plus loin : EDS Togo 2013-2014 (529 p.), OMS Global report on diabetes (2016), OMS Directives sur la qualité de l'eau de boisson (2017, 564 p.), UNESCO Orientations pour l'IA générative (2024), et trois articles scientifiques sur le Togo</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Outils (versions gratuites)</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Gemini Notebook (ex-NotebookLM), Gemini, Claude, Grok, ChatGPT ; Semantic Scholar, Consensus, Elicit, ResearchRabbit, Connected Papers, SciSpace, Google Scholar</w:t>
            </w:r>
          </w:p>
        </w:tc>
      </w:tr>
      <w:tr w:rsidR="006D54CF">
        <w:tblPrEx>
          <w:tblCellMar>
            <w:top w:w="0" w:type="dxa"/>
            <w:bottom w:w="0" w:type="dxa"/>
          </w:tblCellMar>
        </w:tblPrEx>
        <w:trPr>
          <w:cantSplit/>
        </w:trPr>
        <w:tc>
          <w:tcPr>
            <w:tcW w:w="2800"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rPr>
                <w:b/>
                <w:bCs/>
              </w:rPr>
              <w:t>Matériel</w:t>
            </w:r>
          </w:p>
        </w:tc>
        <w:tc>
          <w:tcPr>
            <w:tcW w:w="6838" w:type="dxa"/>
            <w:tcBorders>
              <w:top w:val="single" w:sz="4" w:space="0" w:color="B9C9CC"/>
              <w:left w:val="single" w:sz="4" w:space="0" w:color="B9C9CC"/>
              <w:bottom w:val="single" w:sz="4" w:space="0" w:color="B9C9CC"/>
              <w:right w:val="single" w:sz="4" w:space="0" w:color="B9C9CC"/>
            </w:tcBorders>
            <w:tcMar>
              <w:top w:w="80" w:type="dxa"/>
              <w:left w:w="120" w:type="dxa"/>
              <w:bottom w:w="80" w:type="dxa"/>
              <w:right w:w="120" w:type="dxa"/>
            </w:tcMar>
          </w:tcPr>
          <w:p w:rsidR="006D54CF" w:rsidRDefault="004C078F">
            <w:r>
              <w:t>Vidéoprojecteur, connexion internet, ordinateurs portables des participantes, multiprises</w:t>
            </w:r>
          </w:p>
        </w:tc>
      </w:tr>
    </w:tbl>
    <w:p w:rsidR="006D54CF" w:rsidRDefault="004C078F">
      <w:pPr>
        <w:pStyle w:val="Titre2"/>
      </w:pPr>
      <w:r>
        <w:t>11. Dispositions éthiques et transversales</w:t>
      </w:r>
    </w:p>
    <w:p w:rsidR="006D54CF" w:rsidRDefault="004C078F">
      <w:pPr>
        <w:pStyle w:val="Paragraphedeliste"/>
        <w:numPr>
          <w:ilvl w:val="0"/>
          <w:numId w:val="3"/>
        </w:numPr>
      </w:pPr>
      <w:r>
        <w:t>Confidentialité : articles publiés, textes personnels non sensibles et corpus fictifs ; données d'enquête et chapitres inédits exclus ; sensibilisation à l'anonymisation et aux réglages de protection des données.</w:t>
      </w:r>
    </w:p>
    <w:p w:rsidR="006D54CF" w:rsidRDefault="004C078F">
      <w:pPr>
        <w:pStyle w:val="Paragraphedeliste"/>
        <w:numPr>
          <w:ilvl w:val="0"/>
          <w:numId w:val="3"/>
        </w:numPr>
      </w:pPr>
      <w:r>
        <w:t>Intégrité scientifique : déclaration de l'usage de l'IA, responsabilité de l'auteure, vérification systématique des sources.</w:t>
      </w:r>
    </w:p>
    <w:p w:rsidR="006D54CF" w:rsidRDefault="004C078F">
      <w:pPr>
        <w:pStyle w:val="Paragraphedeliste"/>
        <w:numPr>
          <w:ilvl w:val="0"/>
          <w:numId w:val="3"/>
        </w:numPr>
      </w:pPr>
      <w:r>
        <w:t>Accessibilité : supports disponibles en version numérique (agrandissement, lecteur d'écran).</w:t>
      </w:r>
    </w:p>
    <w:p w:rsidR="006D54CF" w:rsidRDefault="004C078F">
      <w:pPr>
        <w:pStyle w:val="Paragraphedeliste"/>
        <w:numPr>
          <w:ilvl w:val="0"/>
          <w:numId w:val="3"/>
        </w:numPr>
      </w:pPr>
      <w:r>
        <w:t>Propriété intellectuelle : les productions appartiennent aux participantes.</w:t>
      </w:r>
    </w:p>
    <w:p w:rsidR="006D54CF" w:rsidRDefault="004C078F">
      <w:pPr>
        <w:pStyle w:val="Titre2"/>
      </w:pPr>
      <w:r>
        <w:t>12. Références</w:t>
      </w:r>
    </w:p>
    <w:p w:rsidR="006D54CF" w:rsidRDefault="004C078F">
      <w:pPr>
        <w:pStyle w:val="Paragraphedeliste"/>
        <w:numPr>
          <w:ilvl w:val="0"/>
          <w:numId w:val="3"/>
        </w:numPr>
      </w:pPr>
      <w:r>
        <w:t>Braun, V. &amp; Clarke, V. (2006). Using thematic analysis in psychology. Qualitative Research in Psychology, 3(2), 77-101.</w:t>
      </w:r>
    </w:p>
    <w:p w:rsidR="006D54CF" w:rsidRDefault="004C078F">
      <w:pPr>
        <w:pStyle w:val="Paragraphedeliste"/>
        <w:numPr>
          <w:ilvl w:val="0"/>
          <w:numId w:val="3"/>
        </w:numPr>
      </w:pPr>
      <w:r>
        <w:t>COPE – Committee on Publication Ethics (2023). Authorship and AI tools. Position statement.</w:t>
      </w:r>
    </w:p>
    <w:p w:rsidR="006D54CF" w:rsidRDefault="004C078F">
      <w:pPr>
        <w:pStyle w:val="Paragraphedeliste"/>
        <w:numPr>
          <w:ilvl w:val="0"/>
          <w:numId w:val="3"/>
        </w:numPr>
      </w:pPr>
      <w:r>
        <w:t>UNESCO (2024). Orientations pour l'IA générative dans l'éducation et la recherche. Paris : UNESCO. https://doi.org/10.54675/HBCX3851</w:t>
      </w:r>
    </w:p>
    <w:p w:rsidR="006D54CF" w:rsidRDefault="004C078F">
      <w:pPr>
        <w:pStyle w:val="Paragraphedeliste"/>
        <w:numPr>
          <w:ilvl w:val="0"/>
          <w:numId w:val="3"/>
        </w:numPr>
      </w:pPr>
      <w:r>
        <w:t>OMS (2016). Global report on diabetes. Genève : OMS.</w:t>
      </w:r>
    </w:p>
    <w:p w:rsidR="006D54CF" w:rsidRDefault="004C078F">
      <w:pPr>
        <w:pStyle w:val="Paragraphedeliste"/>
        <w:numPr>
          <w:ilvl w:val="0"/>
          <w:numId w:val="3"/>
        </w:numPr>
      </w:pPr>
      <w:r>
        <w:t>Ministère de la Planification du Togo, ministère de la Santé et ICF International (2015). Enquête démographique et de santé au Togo 2013-2014.</w:t>
      </w:r>
    </w:p>
    <w:p w:rsidR="006D54CF" w:rsidRDefault="004C078F">
      <w:pPr>
        <w:pStyle w:val="Paragraphedeliste"/>
        <w:numPr>
          <w:ilvl w:val="0"/>
          <w:numId w:val="3"/>
        </w:numPr>
      </w:pPr>
      <w:r>
        <w:t>OMS (2017). Directives sur la qualité de l'eau de boisson, 4e édition intégrant le premier additif. Genève : OMS.</w:t>
      </w:r>
    </w:p>
    <w:sectPr w:rsidR="006D54CF">
      <w:footerReference w:type="default" r:id="rId7"/>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C078F" w:rsidRDefault="004C078F">
      <w:pPr>
        <w:spacing w:after="0" w:line="240" w:lineRule="auto"/>
      </w:pPr>
      <w:r>
        <w:separator/>
      </w:r>
    </w:p>
  </w:endnote>
  <w:endnote w:type="continuationSeparator" w:id="0">
    <w:p w:rsidR="004C078F" w:rsidRDefault="004C078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Poppins">
    <w:panose1 w:val="00000500000000000000"/>
    <w:charset w:val="00"/>
    <w:family w:val="auto"/>
    <w:pitch w:val="variable"/>
    <w:sig w:usb0="00008007" w:usb1="00000000" w:usb2="00000000" w:usb3="00000000" w:csb0="00000093" w:csb1="00000000"/>
    <w:embedRegular r:id="rId1" w:fontKey="{77C593A2-9364-4CA7-A987-DDF72AC3691B}"/>
    <w:embedBold r:id="rId2" w:fontKey="{B72CB1EE-E139-4C02-89DF-D136A3DEE962}"/>
    <w:embedItalic r:id="rId3" w:fontKey="{A5A0A151-5B48-464C-8E46-48A8930567EB}"/>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embedRegular r:id="rId4" w:fontKey="{AB807F25-CD33-4E54-A61C-F55AB7FDE7F6}"/>
  </w:font>
  <w:font w:name="Calibri">
    <w:panose1 w:val="020F0502020204030204"/>
    <w:charset w:val="00"/>
    <w:family w:val="swiss"/>
    <w:pitch w:val="variable"/>
    <w:sig w:usb0="E4002EFF" w:usb1="C200247B" w:usb2="00000009" w:usb3="00000000" w:csb0="000001FF" w:csb1="00000000"/>
    <w:embedRegular r:id="rId5" w:fontKey="{B5B6DAC9-0702-4D88-B61F-948EC00A225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6D54CF" w:rsidRDefault="004C078F">
    <w:pPr>
      <w:jc w:val="center"/>
    </w:pPr>
    <w:r>
      <w:rPr>
        <w:color w:val="6B7C82"/>
        <w:sz w:val="16"/>
        <w:szCs w:val="16"/>
      </w:rPr>
      <w:t xml:space="preserve">M4-nonIT · Fiche pédagogique  ·  </w:t>
    </w:r>
    <w:r>
      <w:rPr>
        <w:color w:val="6B7C82"/>
        <w:sz w:val="16"/>
        <w:szCs w:val="16"/>
      </w:rPr>
      <w:fldChar w:fldCharType="begin"/>
    </w:r>
    <w:r>
      <w:rPr>
        <w:color w:val="6B7C82"/>
        <w:sz w:val="16"/>
        <w:szCs w:val="16"/>
      </w:rPr>
      <w:instrText>PAGE</w:instrText>
    </w:r>
    <w:r>
      <w:rPr>
        <w:color w:val="6B7C82"/>
        <w:sz w:val="16"/>
        <w:szCs w:val="16"/>
      </w:rPr>
      <w:fldChar w:fldCharType="separate"/>
    </w:r>
    <w:r w:rsidR="002C5FC1">
      <w:rPr>
        <w:noProof/>
        <w:color w:val="6B7C82"/>
        <w:sz w:val="16"/>
        <w:szCs w:val="16"/>
      </w:rPr>
      <w:t>1</w:t>
    </w:r>
    <w:r>
      <w:rPr>
        <w:color w:val="6B7C82"/>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C078F" w:rsidRDefault="004C078F">
      <w:pPr>
        <w:spacing w:after="0" w:line="240" w:lineRule="auto"/>
      </w:pPr>
      <w:r>
        <w:separator/>
      </w:r>
    </w:p>
  </w:footnote>
  <w:footnote w:type="continuationSeparator" w:id="0">
    <w:p w:rsidR="004C078F" w:rsidRDefault="004C078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D33F34"/>
    <w:multiLevelType w:val="hybridMultilevel"/>
    <w:tmpl w:val="D9DA3BD4"/>
    <w:lvl w:ilvl="0" w:tplc="8FB6DCEE">
      <w:start w:val="1"/>
      <w:numFmt w:val="bullet"/>
      <w:lvlText w:val="•"/>
      <w:lvlJc w:val="left"/>
      <w:pPr>
        <w:ind w:left="540" w:hanging="270"/>
      </w:pPr>
    </w:lvl>
    <w:lvl w:ilvl="1" w:tplc="253252AA">
      <w:numFmt w:val="decimal"/>
      <w:lvlText w:val=""/>
      <w:lvlJc w:val="left"/>
    </w:lvl>
    <w:lvl w:ilvl="2" w:tplc="9A7619C2">
      <w:numFmt w:val="decimal"/>
      <w:lvlText w:val=""/>
      <w:lvlJc w:val="left"/>
    </w:lvl>
    <w:lvl w:ilvl="3" w:tplc="A3266CAE">
      <w:numFmt w:val="decimal"/>
      <w:lvlText w:val=""/>
      <w:lvlJc w:val="left"/>
    </w:lvl>
    <w:lvl w:ilvl="4" w:tplc="D206A7C6">
      <w:numFmt w:val="decimal"/>
      <w:lvlText w:val=""/>
      <w:lvlJc w:val="left"/>
    </w:lvl>
    <w:lvl w:ilvl="5" w:tplc="FD88D214">
      <w:numFmt w:val="decimal"/>
      <w:lvlText w:val=""/>
      <w:lvlJc w:val="left"/>
    </w:lvl>
    <w:lvl w:ilvl="6" w:tplc="D1788A06">
      <w:numFmt w:val="decimal"/>
      <w:lvlText w:val=""/>
      <w:lvlJc w:val="left"/>
    </w:lvl>
    <w:lvl w:ilvl="7" w:tplc="8834BD78">
      <w:numFmt w:val="decimal"/>
      <w:lvlText w:val=""/>
      <w:lvlJc w:val="left"/>
    </w:lvl>
    <w:lvl w:ilvl="8" w:tplc="41DC0302">
      <w:numFmt w:val="decimal"/>
      <w:lvlText w:val=""/>
      <w:lvlJc w:val="left"/>
    </w:lvl>
  </w:abstractNum>
  <w:abstractNum w:abstractNumId="1" w15:restartNumberingAfterBreak="0">
    <w:nsid w:val="4E9E3BA6"/>
    <w:multiLevelType w:val="hybridMultilevel"/>
    <w:tmpl w:val="324E6252"/>
    <w:lvl w:ilvl="0" w:tplc="5ADC35E6">
      <w:start w:val="1"/>
      <w:numFmt w:val="bullet"/>
      <w:lvlText w:val="●"/>
      <w:lvlJc w:val="left"/>
      <w:pPr>
        <w:ind w:left="720" w:hanging="360"/>
      </w:pPr>
    </w:lvl>
    <w:lvl w:ilvl="1" w:tplc="192867A6">
      <w:start w:val="1"/>
      <w:numFmt w:val="bullet"/>
      <w:lvlText w:val="○"/>
      <w:lvlJc w:val="left"/>
      <w:pPr>
        <w:ind w:left="1440" w:hanging="360"/>
      </w:pPr>
    </w:lvl>
    <w:lvl w:ilvl="2" w:tplc="A9884DEA">
      <w:start w:val="1"/>
      <w:numFmt w:val="bullet"/>
      <w:lvlText w:val="■"/>
      <w:lvlJc w:val="left"/>
      <w:pPr>
        <w:ind w:left="2160" w:hanging="360"/>
      </w:pPr>
    </w:lvl>
    <w:lvl w:ilvl="3" w:tplc="7EFCF584">
      <w:start w:val="1"/>
      <w:numFmt w:val="bullet"/>
      <w:lvlText w:val="●"/>
      <w:lvlJc w:val="left"/>
      <w:pPr>
        <w:ind w:left="2880" w:hanging="360"/>
      </w:pPr>
    </w:lvl>
    <w:lvl w:ilvl="4" w:tplc="52BA356E">
      <w:start w:val="1"/>
      <w:numFmt w:val="bullet"/>
      <w:lvlText w:val="○"/>
      <w:lvlJc w:val="left"/>
      <w:pPr>
        <w:ind w:left="3600" w:hanging="360"/>
      </w:pPr>
    </w:lvl>
    <w:lvl w:ilvl="5" w:tplc="1B469276">
      <w:start w:val="1"/>
      <w:numFmt w:val="bullet"/>
      <w:lvlText w:val="■"/>
      <w:lvlJc w:val="left"/>
      <w:pPr>
        <w:ind w:left="4320" w:hanging="360"/>
      </w:pPr>
    </w:lvl>
    <w:lvl w:ilvl="6" w:tplc="366EAC2E">
      <w:start w:val="1"/>
      <w:numFmt w:val="bullet"/>
      <w:lvlText w:val="●"/>
      <w:lvlJc w:val="left"/>
      <w:pPr>
        <w:ind w:left="5040" w:hanging="360"/>
      </w:pPr>
    </w:lvl>
    <w:lvl w:ilvl="7" w:tplc="E27C2E02">
      <w:start w:val="1"/>
      <w:numFmt w:val="bullet"/>
      <w:lvlText w:val="●"/>
      <w:lvlJc w:val="left"/>
      <w:pPr>
        <w:ind w:left="5760" w:hanging="360"/>
      </w:pPr>
    </w:lvl>
    <w:lvl w:ilvl="8" w:tplc="7AAA2834">
      <w:start w:val="1"/>
      <w:numFmt w:val="bullet"/>
      <w:lvlText w:val="●"/>
      <w:lvlJc w:val="left"/>
      <w:pPr>
        <w:ind w:left="6480" w:hanging="360"/>
      </w:pPr>
    </w:lvl>
  </w:abstractNum>
  <w:abstractNum w:abstractNumId="2" w15:restartNumberingAfterBreak="0">
    <w:nsid w:val="740B2162"/>
    <w:multiLevelType w:val="hybridMultilevel"/>
    <w:tmpl w:val="DE284366"/>
    <w:lvl w:ilvl="0" w:tplc="FF38ADFA">
      <w:start w:val="1"/>
      <w:numFmt w:val="decimal"/>
      <w:lvlText w:val="%1."/>
      <w:lvlJc w:val="left"/>
      <w:pPr>
        <w:ind w:left="540" w:hanging="300"/>
      </w:pPr>
    </w:lvl>
    <w:lvl w:ilvl="1" w:tplc="BF7457E2">
      <w:numFmt w:val="decimal"/>
      <w:lvlText w:val=""/>
      <w:lvlJc w:val="left"/>
    </w:lvl>
    <w:lvl w:ilvl="2" w:tplc="12E2A92C">
      <w:numFmt w:val="decimal"/>
      <w:lvlText w:val=""/>
      <w:lvlJc w:val="left"/>
    </w:lvl>
    <w:lvl w:ilvl="3" w:tplc="8AAEA28A">
      <w:numFmt w:val="decimal"/>
      <w:lvlText w:val=""/>
      <w:lvlJc w:val="left"/>
    </w:lvl>
    <w:lvl w:ilvl="4" w:tplc="0BCAC200">
      <w:numFmt w:val="decimal"/>
      <w:lvlText w:val=""/>
      <w:lvlJc w:val="left"/>
    </w:lvl>
    <w:lvl w:ilvl="5" w:tplc="13B8D534">
      <w:numFmt w:val="decimal"/>
      <w:lvlText w:val=""/>
      <w:lvlJc w:val="left"/>
    </w:lvl>
    <w:lvl w:ilvl="6" w:tplc="DD603D50">
      <w:numFmt w:val="decimal"/>
      <w:lvlText w:val=""/>
      <w:lvlJc w:val="left"/>
    </w:lvl>
    <w:lvl w:ilvl="7" w:tplc="8F1CB9AC">
      <w:numFmt w:val="decimal"/>
      <w:lvlText w:val=""/>
      <w:lvlJc w:val="left"/>
    </w:lvl>
    <w:lvl w:ilvl="8" w:tplc="6CF21228">
      <w:numFmt w:val="decimal"/>
      <w:lvlText w:val=""/>
      <w:lvlJc w:val="left"/>
    </w:lvl>
  </w:abstractNum>
  <w:num w:numId="1" w16cid:durableId="37509966">
    <w:abstractNumId w:val="1"/>
    <w:lvlOverride w:ilvl="0">
      <w:startOverride w:val="1"/>
    </w:lvlOverride>
  </w:num>
  <w:num w:numId="2" w16cid:durableId="460346874">
    <w:abstractNumId w:val="2"/>
    <w:lvlOverride w:ilvl="0">
      <w:startOverride w:val="1"/>
    </w:lvlOverride>
  </w:num>
  <w:num w:numId="3" w16cid:durableId="26635524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D54CF"/>
    <w:rsid w:val="002C5FC1"/>
    <w:rsid w:val="004C078F"/>
    <w:rsid w:val="006D54CF"/>
    <w:rsid w:val="00847E90"/>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DA2AB01C-A4FE-4859-9090-EFE36E0FAE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Poppins" w:eastAsia="Poppins" w:hAnsi="Poppins" w:cs="Poppins"/>
        <w:sz w:val="19"/>
        <w:szCs w:val="19"/>
        <w:lang w:val="fr-FR" w:eastAsia="fr-FR" w:bidi="ar-SA"/>
      </w:rPr>
    </w:rPrDefault>
    <w:pPrDefault>
      <w:pPr>
        <w:spacing w:after="1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uiPriority w:val="9"/>
    <w:qFormat/>
    <w:pPr>
      <w:spacing w:before="120" w:after="160"/>
      <w:outlineLvl w:val="0"/>
    </w:pPr>
    <w:rPr>
      <w:b/>
      <w:bCs/>
      <w:color w:val="0B3C49"/>
      <w:sz w:val="30"/>
      <w:szCs w:val="30"/>
    </w:rPr>
  </w:style>
  <w:style w:type="paragraph" w:styleId="Titre2">
    <w:name w:val="heading 2"/>
    <w:uiPriority w:val="9"/>
    <w:unhideWhenUsed/>
    <w:qFormat/>
    <w:pPr>
      <w:keepNext/>
      <w:keepLines/>
      <w:spacing w:before="260"/>
      <w:outlineLvl w:val="1"/>
    </w:pPr>
    <w:rPr>
      <w:b/>
      <w:bCs/>
      <w:color w:val="0B3C49"/>
      <w:sz w:val="23"/>
      <w:szCs w:val="23"/>
    </w:rPr>
  </w:style>
  <w:style w:type="paragraph" w:styleId="Titre3">
    <w:name w:val="heading 3"/>
    <w:uiPriority w:val="9"/>
    <w:semiHidden/>
    <w:unhideWhenUsed/>
    <w:qFormat/>
    <w:pPr>
      <w:keepNext/>
      <w:keepLines/>
      <w:spacing w:before="180" w:after="80"/>
      <w:outlineLvl w:val="2"/>
    </w:pPr>
    <w:rPr>
      <w:b/>
      <w:bCs/>
      <w:color w:val="0E8C8C"/>
    </w:rPr>
  </w:style>
  <w:style w:type="paragraph" w:styleId="Titre4">
    <w:name w:val="heading 4"/>
    <w:uiPriority w:val="9"/>
    <w:semiHidden/>
    <w:unhideWhenUsed/>
    <w:qFormat/>
    <w:pPr>
      <w:outlineLvl w:val="3"/>
    </w:pPr>
    <w:rPr>
      <w:i/>
      <w:iCs/>
      <w:color w:val="2E74B5"/>
    </w:rPr>
  </w:style>
  <w:style w:type="paragraph" w:styleId="Titre5">
    <w:name w:val="heading 5"/>
    <w:uiPriority w:val="9"/>
    <w:semiHidden/>
    <w:unhideWhenUsed/>
    <w:qFormat/>
    <w:pPr>
      <w:outlineLvl w:val="4"/>
    </w:pPr>
    <w:rPr>
      <w:color w:val="2E74B5"/>
    </w:rPr>
  </w:style>
  <w:style w:type="paragraph" w:styleId="Titre6">
    <w:name w:val="heading 6"/>
    <w:uiPriority w:val="9"/>
    <w:semiHidden/>
    <w:unhideWhenUsed/>
    <w:qFormat/>
    <w:pPr>
      <w:outlineLvl w:val="5"/>
    </w:pPr>
    <w:rPr>
      <w:color w:val="1F4D7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Titre">
    <w:name w:val="Title"/>
    <w:uiPriority w:val="10"/>
    <w:qFormat/>
    <w:rPr>
      <w:sz w:val="56"/>
      <w:szCs w:val="56"/>
    </w:rPr>
  </w:style>
  <w:style w:type="paragraph" w:customStyle="1" w:styleId="lev1">
    <w:name w:val="Élevé1"/>
    <w:qFormat/>
    <w:rPr>
      <w:b/>
      <w:bCs/>
    </w:rPr>
  </w:style>
  <w:style w:type="paragraph" w:styleId="Paragraphedeliste">
    <w:name w:val="List Paragraph"/>
    <w:qFormat/>
  </w:style>
  <w:style w:type="character" w:styleId="Lienhypertexte">
    <w:name w:val="Hyperlink"/>
    <w:uiPriority w:val="99"/>
    <w:unhideWhenUsed/>
    <w:rPr>
      <w:color w:val="0563C1"/>
      <w:u w:val="single"/>
    </w:rPr>
  </w:style>
  <w:style w:type="character" w:styleId="Appelnotedebasdep">
    <w:name w:val="footnote reference"/>
    <w:uiPriority w:val="99"/>
    <w:semiHidden/>
    <w:unhideWhenUsed/>
    <w:rPr>
      <w:vertAlign w:val="superscript"/>
    </w:rPr>
  </w:style>
  <w:style w:type="paragraph" w:styleId="Notedebasdepage">
    <w:name w:val="footnote text"/>
    <w:link w:val="NotedebasdepageCar"/>
    <w:uiPriority w:val="99"/>
    <w:semiHidden/>
    <w:unhideWhenUsed/>
    <w:pPr>
      <w:spacing w:after="0" w:line="240" w:lineRule="auto"/>
    </w:pPr>
    <w:rPr>
      <w:sz w:val="20"/>
      <w:szCs w:val="20"/>
    </w:rPr>
  </w:style>
  <w:style w:type="character" w:customStyle="1" w:styleId="NotedebasdepageCar">
    <w:name w:val="Note de bas de page Car"/>
    <w:link w:val="Notedebasdepage"/>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1271</Words>
  <Characters>6991</Characters>
  <Application>Microsoft Office Word</Application>
  <DocSecurity>0</DocSecurity>
  <Lines>58</Lines>
  <Paragraphs>16</Paragraphs>
  <ScaleCrop>false</ScaleCrop>
  <Company/>
  <LinksUpToDate>false</LinksUpToDate>
  <CharactersWithSpaces>8246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M4-nonIT_Fiche_pedagogique</dc:title>
  <dc:creator>Ditoma KEGDIGOMA</dc:creator>
  <cp:lastModifiedBy>Ditoma KEGDIGOMA</cp:lastModifiedBy>
  <cp:revision>2</cp:revision>
  <dcterms:created xsi:type="dcterms:W3CDTF">2026-10-18T13:12:00Z</dcterms:created>
  <dcterms:modified xsi:type="dcterms:W3CDTF">2026-10-18T13:13:00Z</dcterms:modified>
</cp:coreProperties>
</file>