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8"/>
        </w:rPr>
        <w:t>SECURECORP INC.</w:t>
      </w:r>
    </w:p>
    <w:p>
      <w:pPr>
        <w:jc w:val="center"/>
      </w:pPr>
      <w:r>
        <w:rPr>
          <w:b/>
          <w:sz w:val="40"/>
        </w:rPr>
        <w:t>Security Assessment Engagement</w:t>
      </w:r>
    </w:p>
    <w:p/>
    <w:p>
      <w:pPr>
        <w:jc w:val="center"/>
      </w:pPr>
      <w:r>
        <w:rPr>
          <w:b/>
          <w:sz w:val="44"/>
        </w:rPr>
        <w:t>FINAL SECURITY ASSESSMENT REPORT</w:t>
      </w:r>
    </w:p>
    <w:p>
      <w:pPr>
        <w:jc w:val="center"/>
      </w:pPr>
      <w:r>
        <w:rPr>
          <w:i/>
        </w:rPr>
        <w:t>Junior Cybersecurity Consultant Capstone</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Report Information</w:t>
            </w:r>
          </w:p>
        </w:tc>
        <w:tc>
          <w:tcPr>
            <w:tcW w:type="dxa" w:w="4968"/>
            <w:shd w:fill="D9E2F3"/>
            <w:vAlign w:val="center"/>
          </w:tcPr>
          <w:p>
            <w:r>
              <w:t>Details</w:t>
            </w:r>
          </w:p>
        </w:tc>
      </w:tr>
      <w:tr>
        <w:tc>
          <w:tcPr>
            <w:tcW w:type="dxa" w:w="4968"/>
            <w:vAlign w:val="center"/>
          </w:tcPr>
          <w:p>
            <w:r>
              <w:t>Client</w:t>
            </w:r>
          </w:p>
        </w:tc>
        <w:tc>
          <w:tcPr>
            <w:tcW w:type="dxa" w:w="4968"/>
            <w:vAlign w:val="center"/>
          </w:tcPr>
          <w:p>
            <w:r>
              <w:t>SecureCorp Inc.</w:t>
            </w:r>
          </w:p>
        </w:tc>
      </w:tr>
      <w:tr>
        <w:tc>
          <w:tcPr>
            <w:tcW w:type="dxa" w:w="4968"/>
            <w:vAlign w:val="center"/>
          </w:tcPr>
          <w:p>
            <w:r>
              <w:t>Consultant</w:t>
            </w:r>
          </w:p>
        </w:tc>
        <w:tc>
          <w:tcPr>
            <w:tcW w:type="dxa" w:w="4968"/>
            <w:vAlign w:val="center"/>
          </w:tcPr>
          <w:p>
            <w:r>
              <w:t>Neil</w:t>
            </w:r>
          </w:p>
        </w:tc>
      </w:tr>
      <w:tr>
        <w:tc>
          <w:tcPr>
            <w:tcW w:type="dxa" w:w="4968"/>
            <w:vAlign w:val="center"/>
          </w:tcPr>
          <w:p>
            <w:r>
              <w:t>Assessment type</w:t>
            </w:r>
          </w:p>
        </w:tc>
        <w:tc>
          <w:tcPr>
            <w:tcW w:type="dxa" w:w="4968"/>
            <w:vAlign w:val="center"/>
          </w:tcPr>
          <w:p>
            <w:r>
              <w:t>Authorized security assessment and incident investigation</w:t>
            </w:r>
          </w:p>
        </w:tc>
      </w:tr>
      <w:tr>
        <w:tc>
          <w:tcPr>
            <w:tcW w:type="dxa" w:w="4968"/>
            <w:vAlign w:val="center"/>
          </w:tcPr>
          <w:p>
            <w:r>
              <w:t>Assessment environment</w:t>
            </w:r>
          </w:p>
        </w:tc>
        <w:tc>
          <w:tcPr>
            <w:tcW w:type="dxa" w:w="4968"/>
            <w:vAlign w:val="center"/>
          </w:tcPr>
          <w:p>
            <w:r>
              <w:t>Self-contained controlled laboratory</w:t>
            </w:r>
          </w:p>
        </w:tc>
      </w:tr>
      <w:tr>
        <w:tc>
          <w:tcPr>
            <w:tcW w:type="dxa" w:w="4968"/>
            <w:vAlign w:val="center"/>
          </w:tcPr>
          <w:p>
            <w:r>
              <w:t>Assessment period</w:t>
            </w:r>
          </w:p>
        </w:tc>
        <w:tc>
          <w:tcPr>
            <w:tcW w:type="dxa" w:w="4968"/>
            <w:vAlign w:val="center"/>
          </w:tcPr>
          <w:p>
            <w:r>
              <w:t>15 June 2026 – 13 August 2026</w:t>
            </w:r>
          </w:p>
        </w:tc>
      </w:tr>
      <w:tr>
        <w:tc>
          <w:tcPr>
            <w:tcW w:type="dxa" w:w="4968"/>
            <w:vAlign w:val="center"/>
          </w:tcPr>
          <w:p>
            <w:r>
              <w:t>Report date</w:t>
            </w:r>
          </w:p>
        </w:tc>
        <w:tc>
          <w:tcPr>
            <w:tcW w:type="dxa" w:w="4968"/>
            <w:vAlign w:val="center"/>
          </w:tcPr>
          <w:p>
            <w:r>
              <w:t>13 August 2026</w:t>
            </w:r>
          </w:p>
        </w:tc>
      </w:tr>
      <w:tr>
        <w:tc>
          <w:tcPr>
            <w:tcW w:type="dxa" w:w="4968"/>
            <w:vAlign w:val="center"/>
          </w:tcPr>
          <w:p>
            <w:r>
              <w:t>Classification</w:t>
            </w:r>
          </w:p>
        </w:tc>
        <w:tc>
          <w:tcPr>
            <w:tcW w:type="dxa" w:w="4968"/>
            <w:vAlign w:val="center"/>
          </w:tcPr>
          <w:p>
            <w:r>
              <w:t>CONFIDENTIAL — FOR ASSESSMENT / ACADEMIC USE</w:t>
            </w:r>
          </w:p>
        </w:tc>
      </w:tr>
    </w:tbl>
    <w:p>
      <w:r>
        <w:br w:type="page"/>
      </w:r>
    </w:p>
    <w:p>
      <w:pPr>
        <w:pStyle w:val="Heading1"/>
      </w:pPr>
      <w:r>
        <w:t>2. Executive Summary</w:t>
      </w:r>
    </w:p>
    <w:p>
      <w:r>
        <w:rPr>
          <w:b w:val="0"/>
          <w:i w:val="0"/>
        </w:rPr>
        <w:t>SecureCorp commissioned a four-week security assessment to understand its security posture, identify weaknesses in the customer-facing web environment, investigate the resulting activity through centralized monitoring, and develop practical remediation guidance. The engagement followed the four-stage lifecycle defined in the SecureCorp handbook: scoping and discovery, controlled assessment, detection and investigation, and remediation/reporting.</w:t>
      </w:r>
    </w:p>
    <w:p>
      <w:r>
        <w:rPr>
          <w:b w:val="0"/>
          <w:i w:val="0"/>
        </w:rPr>
        <w:t>The assessment used a controlled laboratory representation of SecureCorp. The Ubuntu virtual machine represented the customer-facing web server and hosted DVWA, Apache, MariaDB, PHP, SSH and auditd. A Kali Linux virtual machine represented the authorized attacker environment, while the Arch Linux host provided centralized Wazuh management and monitoring. The primary lab path was intentionally restricted to systems under the student's control.</w:t>
      </w:r>
    </w:p>
    <w:p>
      <w:r>
        <w:rPr>
          <w:b w:val="0"/>
          <w:i w:val="0"/>
        </w:rPr>
        <w:t>The controlled assessment examined four attack classes required by the engagement: brute-force authentication, SQL injection, cross-site scripting and command injection. Week 3 then mapped those activities to Wazuh and Linux/web telemetry. Documented Wazuh coverage included rules 5710 and 5763 for SSH brute-force activity; 31103 and 31106 for web attack patterns and successful HTTP 200 responses; and 31103, 31108 and auditd/80792 for command-injection and privileged-execution correlation.</w:t>
      </w:r>
    </w:p>
    <w:p>
      <w:r>
        <w:rPr>
          <w:b w:val="0"/>
          <w:i w:val="0"/>
        </w:rPr>
        <w:t>The highest-risk finding is command injection because successful exploitation can move from the web application layer into operating-system command execution and potentially server compromise. SQL injection presents a high confidentiality and integrity risk because unsafe input can reach database queries. XSS creates a browser-side execution risk for users interacting with vulnerable content. Brute-force activity demonstrates the importance of strong authentication, rate limiting and multi-factor authentication.</w:t>
      </w:r>
    </w:p>
    <w:p>
      <w:r>
        <w:rPr>
          <w:b w:val="0"/>
          <w:i w:val="0"/>
        </w:rPr>
        <w:t>The assessment also established a useful monitoring foundation. Wazuh centralized security telemetry from the monitored Ubuntu endpoint, while Linux authentication and auditd telemetry provided additional visibility into authentication and privileged execution. The recommended remediation priority is to eliminate unsafe command execution, harden application input handling, strengthen authentication, preserve centralized logging, and enforce least privilege and recovery controls.</w:t>
      </w:r>
    </w:p>
    <w:p>
      <w:r>
        <w:rPr>
          <w:b w:val="0"/>
          <w:i w:val="0"/>
        </w:rPr>
        <w:t>The conclusions in this report distinguish documented detection capabilities from historical event data. Where original event exports or timestamps are unavailable, reconstructed assessment material is identified as such rather than presented as a recovered SIEM record.</w:t>
      </w:r>
    </w:p>
    <w:p>
      <w:pPr>
        <w:pStyle w:val="Heading1"/>
      </w:pPr>
      <w:r>
        <w:t>3. Scope &amp; Rules of Engagement</w:t>
      </w:r>
    </w:p>
    <w:p>
      <w:r>
        <w:rPr>
          <w:b w:val="0"/>
          <w:i w:val="0"/>
        </w:rPr>
        <w:t>The assessment was restricted to the controlled SecureCorp laboratory and followed the project rules in the handbook. Only personally owned or controlled virtual machines were authorized for scanning, probing and attack simulation. Public websites, public IP addresses, shared networks and other students' systems were out of scope.</w:t>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Rule</w:t>
            </w:r>
          </w:p>
        </w:tc>
        <w:tc>
          <w:tcPr>
            <w:tcW w:type="dxa" w:w="4968"/>
            <w:shd w:fill="D9E2F3"/>
            <w:vAlign w:val="center"/>
          </w:tcPr>
          <w:p>
            <w:r>
              <w:t>Application to this engagement</w:t>
            </w:r>
          </w:p>
        </w:tc>
      </w:tr>
      <w:tr>
        <w:tc>
          <w:tcPr>
            <w:tcW w:type="dxa" w:w="4968"/>
            <w:vAlign w:val="center"/>
          </w:tcPr>
          <w:p>
            <w:r>
              <w:t>Authorized targets</w:t>
            </w:r>
          </w:p>
        </w:tc>
        <w:tc>
          <w:tcPr>
            <w:tcW w:type="dxa" w:w="4968"/>
            <w:vAlign w:val="center"/>
          </w:tcPr>
          <w:p>
            <w:r>
              <w:t>Ubuntu DVWA target and other personally controlled lab systems.</w:t>
            </w:r>
          </w:p>
        </w:tc>
      </w:tr>
      <w:tr>
        <w:tc>
          <w:tcPr>
            <w:tcW w:type="dxa" w:w="4968"/>
            <w:vAlign w:val="center"/>
          </w:tcPr>
          <w:p>
            <w:r>
              <w:t>Attacker environment</w:t>
            </w:r>
          </w:p>
        </w:tc>
        <w:tc>
          <w:tcPr>
            <w:tcW w:type="dxa" w:w="4968"/>
            <w:vAlign w:val="center"/>
          </w:tcPr>
          <w:p>
            <w:r>
              <w:t>Kali Linux VM used for authorized security testing.</w:t>
            </w:r>
          </w:p>
        </w:tc>
      </w:tr>
      <w:tr>
        <w:tc>
          <w:tcPr>
            <w:tcW w:type="dxa" w:w="4968"/>
            <w:vAlign w:val="center"/>
          </w:tcPr>
          <w:p>
            <w:r>
              <w:t>Monitoring</w:t>
            </w:r>
          </w:p>
        </w:tc>
        <w:tc>
          <w:tcPr>
            <w:tcW w:type="dxa" w:w="4968"/>
            <w:vAlign w:val="center"/>
          </w:tcPr>
          <w:p>
            <w:r>
              <w:t>Wazuh manager/dashboard on the Arch host; Ubuntu monitored by a Wazuh agent.</w:t>
            </w:r>
          </w:p>
        </w:tc>
      </w:tr>
      <w:tr>
        <w:tc>
          <w:tcPr>
            <w:tcW w:type="dxa" w:w="4968"/>
            <w:vAlign w:val="center"/>
          </w:tcPr>
          <w:p>
            <w:r>
              <w:t>Credential attacks</w:t>
            </w:r>
          </w:p>
        </w:tc>
        <w:tc>
          <w:tcPr>
            <w:tcW w:type="dxa" w:w="4968"/>
            <w:vAlign w:val="center"/>
          </w:tcPr>
          <w:p>
            <w:r>
              <w:t>Restricted to deliberately created lab accounts and DVWA test accounts.</w:t>
            </w:r>
          </w:p>
        </w:tc>
      </w:tr>
      <w:tr>
        <w:tc>
          <w:tcPr>
            <w:tcW w:type="dxa" w:w="4968"/>
            <w:vAlign w:val="center"/>
          </w:tcPr>
          <w:p>
            <w:r>
              <w:t>Network boundary</w:t>
            </w:r>
          </w:p>
        </w:tc>
        <w:tc>
          <w:tcPr>
            <w:tcW w:type="dxa" w:w="4968"/>
            <w:vAlign w:val="center"/>
          </w:tcPr>
          <w:p>
            <w:r>
              <w:t>Testing remained within the controlled laboratory path.</w:t>
            </w:r>
          </w:p>
        </w:tc>
      </w:tr>
      <w:tr>
        <w:tc>
          <w:tcPr>
            <w:tcW w:type="dxa" w:w="4968"/>
            <w:vAlign w:val="center"/>
          </w:tcPr>
          <w:p>
            <w:r>
              <w:t>Evidence</w:t>
            </w:r>
          </w:p>
        </w:tc>
        <w:tc>
          <w:tcPr>
            <w:tcW w:type="dxa" w:w="4968"/>
            <w:vAlign w:val="center"/>
          </w:tcPr>
          <w:p>
            <w:r>
              <w:t>Findings supported by screenshots, terminal output or log evidence where available.</w:t>
            </w:r>
          </w:p>
        </w:tc>
      </w:tr>
    </w:tbl>
    <w:p>
      <w:r>
        <w:rPr>
          <w:b w:val="0"/>
          <w:i w:val="0"/>
        </w:rPr>
        <w:t>The engagement was conducted as an individual academic security assessment. The work was structured to mirror a consulting lifecycle rather than an unrestricted penetration test.</w:t>
      </w:r>
    </w:p>
    <w:p>
      <w:pPr>
        <w:pStyle w:val="Heading1"/>
      </w:pPr>
      <w:r>
        <w:t>4. Asset Inventory &amp; CIA Analysis</w:t>
      </w:r>
    </w:p>
    <w:p>
      <w:pPr>
        <w:pStyle w:val="Heading2"/>
      </w:pPr>
      <w:r>
        <w:t>4.1 Asset Inventory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Asset</w:t>
            </w:r>
          </w:p>
        </w:tc>
        <w:tc>
          <w:tcPr>
            <w:tcW w:type="dxa" w:w="2484"/>
            <w:shd w:fill="D9E2F3"/>
            <w:vAlign w:val="center"/>
          </w:tcPr>
          <w:p>
            <w:r>
              <w:t>Type</w:t>
            </w:r>
          </w:p>
        </w:tc>
        <w:tc>
          <w:tcPr>
            <w:tcW w:type="dxa" w:w="2484"/>
            <w:shd w:fill="D9E2F3"/>
            <w:vAlign w:val="center"/>
          </w:tcPr>
          <w:p>
            <w:r>
              <w:t>Owner / Department</w:t>
            </w:r>
          </w:p>
        </w:tc>
        <w:tc>
          <w:tcPr>
            <w:tcW w:type="dxa" w:w="2484"/>
            <w:shd w:fill="D9E2F3"/>
            <w:vAlign w:val="center"/>
          </w:tcPr>
          <w:p>
            <w:r>
              <w:t>Why It Matters</w:t>
            </w:r>
          </w:p>
        </w:tc>
      </w:tr>
      <w:tr>
        <w:tc>
          <w:tcPr>
            <w:tcW w:type="dxa" w:w="2484"/>
            <w:vAlign w:val="center"/>
          </w:tcPr>
          <w:p>
            <w:r>
              <w:t>Employee laptops / Windows workstations</w:t>
            </w:r>
          </w:p>
        </w:tc>
        <w:tc>
          <w:tcPr>
            <w:tcW w:type="dxa" w:w="2484"/>
            <w:vAlign w:val="center"/>
          </w:tcPr>
          <w:p>
            <w:r>
              <w:t>Hardware</w:t>
            </w:r>
          </w:p>
        </w:tc>
        <w:tc>
          <w:tcPr>
            <w:tcW w:type="dxa" w:w="2484"/>
            <w:vAlign w:val="center"/>
          </w:tcPr>
          <w:p>
            <w:r>
              <w:t>All departments / IT</w:t>
            </w:r>
          </w:p>
        </w:tc>
        <w:tc>
          <w:tcPr>
            <w:tcW w:type="dxa" w:w="2484"/>
            <w:vAlign w:val="center"/>
          </w:tcPr>
          <w:p>
            <w:r>
              <w:t>Primary employee endpoints; compromise could expose credentials, business data and internal access.</w:t>
            </w:r>
          </w:p>
        </w:tc>
      </w:tr>
      <w:tr>
        <w:tc>
          <w:tcPr>
            <w:tcW w:type="dxa" w:w="2484"/>
            <w:vAlign w:val="center"/>
          </w:tcPr>
          <w:p>
            <w:r>
              <w:t>Ubuntu web server</w:t>
            </w:r>
          </w:p>
        </w:tc>
        <w:tc>
          <w:tcPr>
            <w:tcW w:type="dxa" w:w="2484"/>
            <w:vAlign w:val="center"/>
          </w:tcPr>
          <w:p>
            <w:r>
              <w:t>Hardware / Software</w:t>
            </w:r>
          </w:p>
        </w:tc>
        <w:tc>
          <w:tcPr>
            <w:tcW w:type="dxa" w:w="2484"/>
            <w:vAlign w:val="center"/>
          </w:tcPr>
          <w:p>
            <w:r>
              <w:t>Engineering / IT</w:t>
            </w:r>
          </w:p>
        </w:tc>
        <w:tc>
          <w:tcPr>
            <w:tcW w:type="dxa" w:w="2484"/>
            <w:vAlign w:val="center"/>
          </w:tcPr>
          <w:p>
            <w:r>
              <w:t>Represents the production customer-facing server and is a critical service platform.</w:t>
            </w:r>
          </w:p>
        </w:tc>
      </w:tr>
      <w:tr>
        <w:tc>
          <w:tcPr>
            <w:tcW w:type="dxa" w:w="2484"/>
            <w:vAlign w:val="center"/>
          </w:tcPr>
          <w:p>
            <w:r>
              <w:t>Customer portal web application</w:t>
            </w:r>
          </w:p>
        </w:tc>
        <w:tc>
          <w:tcPr>
            <w:tcW w:type="dxa" w:w="2484"/>
            <w:vAlign w:val="center"/>
          </w:tcPr>
          <w:p>
            <w:r>
              <w:t>Software</w:t>
            </w:r>
          </w:p>
        </w:tc>
        <w:tc>
          <w:tcPr>
            <w:tcW w:type="dxa" w:w="2484"/>
            <w:vAlign w:val="center"/>
          </w:tcPr>
          <w:p>
            <w:r>
              <w:t>Engineering / Customer Support</w:t>
            </w:r>
          </w:p>
        </w:tc>
        <w:tc>
          <w:tcPr>
            <w:tcW w:type="dxa" w:w="2484"/>
            <w:vAlign w:val="center"/>
          </w:tcPr>
          <w:p>
            <w:r>
              <w:t>Handles customer logins, customer data and support tickets and is exposed to application-layer attacks.</w:t>
            </w:r>
          </w:p>
        </w:tc>
      </w:tr>
      <w:tr>
        <w:tc>
          <w:tcPr>
            <w:tcW w:type="dxa" w:w="2484"/>
            <w:vAlign w:val="center"/>
          </w:tcPr>
          <w:p>
            <w:r>
              <w:t>Internal company website</w:t>
            </w:r>
          </w:p>
        </w:tc>
        <w:tc>
          <w:tcPr>
            <w:tcW w:type="dxa" w:w="2484"/>
            <w:vAlign w:val="center"/>
          </w:tcPr>
          <w:p>
            <w:r>
              <w:t>Software</w:t>
            </w:r>
          </w:p>
        </w:tc>
        <w:tc>
          <w:tcPr>
            <w:tcW w:type="dxa" w:w="2484"/>
            <w:vAlign w:val="center"/>
          </w:tcPr>
          <w:p>
            <w:r>
              <w:t>Engineering / Corporate</w:t>
            </w:r>
          </w:p>
        </w:tc>
        <w:tc>
          <w:tcPr>
            <w:tcW w:type="dxa" w:w="2484"/>
            <w:vAlign w:val="center"/>
          </w:tcPr>
          <w:p>
            <w:r>
              <w:t>Provides internal information and business functionality.</w:t>
            </w:r>
          </w:p>
        </w:tc>
      </w:tr>
      <w:tr>
        <w:tc>
          <w:tcPr>
            <w:tcW w:type="dxa" w:w="2484"/>
            <w:vAlign w:val="center"/>
          </w:tcPr>
          <w:p>
            <w:r>
              <w:t>Customer and employee database</w:t>
            </w:r>
          </w:p>
        </w:tc>
        <w:tc>
          <w:tcPr>
            <w:tcW w:type="dxa" w:w="2484"/>
            <w:vAlign w:val="center"/>
          </w:tcPr>
          <w:p>
            <w:r>
              <w:t>Data</w:t>
            </w:r>
          </w:p>
        </w:tc>
        <w:tc>
          <w:tcPr>
            <w:tcW w:type="dxa" w:w="2484"/>
            <w:vAlign w:val="center"/>
          </w:tcPr>
          <w:p>
            <w:r>
              <w:t>Engineering / Finance / HR / Customer Support</w:t>
            </w:r>
          </w:p>
        </w:tc>
        <w:tc>
          <w:tcPr>
            <w:tcW w:type="dxa" w:w="2484"/>
            <w:vAlign w:val="center"/>
          </w:tcPr>
          <w:p>
            <w:r>
              <w:t>Contains business and personal information whose disclosure or manipulation could cause operational and reputational harm.</w:t>
            </w:r>
          </w:p>
        </w:tc>
      </w:tr>
      <w:tr>
        <w:tc>
          <w:tcPr>
            <w:tcW w:type="dxa" w:w="2484"/>
            <w:vAlign w:val="center"/>
          </w:tcPr>
          <w:p>
            <w:r>
              <w:t>Employee accounts and credentials</w:t>
            </w:r>
          </w:p>
        </w:tc>
        <w:tc>
          <w:tcPr>
            <w:tcW w:type="dxa" w:w="2484"/>
            <w:vAlign w:val="center"/>
          </w:tcPr>
          <w:p>
            <w:r>
              <w:t>Data / Identity</w:t>
            </w:r>
          </w:p>
        </w:tc>
        <w:tc>
          <w:tcPr>
            <w:tcW w:type="dxa" w:w="2484"/>
            <w:vAlign w:val="center"/>
          </w:tcPr>
          <w:p>
            <w:r>
              <w:t>HR / IT / All departments</w:t>
            </w:r>
          </w:p>
        </w:tc>
        <w:tc>
          <w:tcPr>
            <w:tcW w:type="dxa" w:w="2484"/>
            <w:vAlign w:val="center"/>
          </w:tcPr>
          <w:p>
            <w:r>
              <w:t>Provide access to business systems; compromise could enable unauthorized access and lateral movement.</w:t>
            </w:r>
          </w:p>
        </w:tc>
      </w:tr>
      <w:tr>
        <w:tc>
          <w:tcPr>
            <w:tcW w:type="dxa" w:w="2484"/>
            <w:vAlign w:val="center"/>
          </w:tcPr>
          <w:p>
            <w:r>
              <w:t>Internet-facing connection</w:t>
            </w:r>
          </w:p>
        </w:tc>
        <w:tc>
          <w:tcPr>
            <w:tcW w:type="dxa" w:w="2484"/>
            <w:vAlign w:val="center"/>
          </w:tcPr>
          <w:p>
            <w:r>
              <w:t>Connectivity</w:t>
            </w:r>
          </w:p>
        </w:tc>
        <w:tc>
          <w:tcPr>
            <w:tcW w:type="dxa" w:w="2484"/>
            <w:vAlign w:val="center"/>
          </w:tcPr>
          <w:p>
            <w:r>
              <w:t>IT / Engineering</w:t>
            </w:r>
          </w:p>
        </w:tc>
        <w:tc>
          <w:tcPr>
            <w:tcW w:type="dxa" w:w="2484"/>
            <w:vAlign w:val="center"/>
          </w:tcPr>
          <w:p>
            <w:r>
              <w:t>Provides external access to customer-facing services and expands the attack surface.</w:t>
            </w:r>
          </w:p>
        </w:tc>
      </w:tr>
    </w:tbl>
    <w:p>
      <w:pPr>
        <w:pStyle w:val="Heading2"/>
      </w:pPr>
      <w:r>
        <w:t>4.2 CIA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Asset</w:t>
            </w:r>
          </w:p>
        </w:tc>
        <w:tc>
          <w:tcPr>
            <w:tcW w:type="dxa" w:w="2484"/>
            <w:shd w:fill="D9E2F3"/>
            <w:vAlign w:val="center"/>
          </w:tcPr>
          <w:p>
            <w:r>
              <w:t>Confidentiality</w:t>
            </w:r>
          </w:p>
        </w:tc>
        <w:tc>
          <w:tcPr>
            <w:tcW w:type="dxa" w:w="2484"/>
            <w:shd w:fill="D9E2F3"/>
            <w:vAlign w:val="center"/>
          </w:tcPr>
          <w:p>
            <w:r>
              <w:t>Integrity</w:t>
            </w:r>
          </w:p>
        </w:tc>
        <w:tc>
          <w:tcPr>
            <w:tcW w:type="dxa" w:w="2484"/>
            <w:shd w:fill="D9E2F3"/>
            <w:vAlign w:val="center"/>
          </w:tcPr>
          <w:p>
            <w:r>
              <w:t>Availability</w:t>
            </w:r>
          </w:p>
        </w:tc>
      </w:tr>
      <w:tr>
        <w:tc>
          <w:tcPr>
            <w:tcW w:type="dxa" w:w="2484"/>
            <w:vAlign w:val="center"/>
          </w:tcPr>
          <w:p>
            <w:r>
              <w:t>Customer portal</w:t>
            </w:r>
          </w:p>
        </w:tc>
        <w:tc>
          <w:tcPr>
            <w:tcW w:type="dxa" w:w="2484"/>
            <w:vAlign w:val="center"/>
          </w:tcPr>
          <w:p>
            <w:r>
              <w:t>Customer information and account data must remain private.</w:t>
            </w:r>
          </w:p>
        </w:tc>
        <w:tc>
          <w:tcPr>
            <w:tcW w:type="dxa" w:w="2484"/>
            <w:vAlign w:val="center"/>
          </w:tcPr>
          <w:p>
            <w:r>
              <w:t>Portal logic, authentication and transactions must not be altered without authorization.</w:t>
            </w:r>
          </w:p>
        </w:tc>
        <w:tc>
          <w:tcPr>
            <w:tcW w:type="dxa" w:w="2484"/>
            <w:vAlign w:val="center"/>
          </w:tcPr>
          <w:p>
            <w:r>
              <w:t>Customers and support staff require reliable access.</w:t>
            </w:r>
          </w:p>
        </w:tc>
      </w:tr>
      <w:tr>
        <w:tc>
          <w:tcPr>
            <w:tcW w:type="dxa" w:w="2484"/>
            <w:vAlign w:val="center"/>
          </w:tcPr>
          <w:p>
            <w:r>
              <w:t>Customer and employee database</w:t>
            </w:r>
          </w:p>
        </w:tc>
        <w:tc>
          <w:tcPr>
            <w:tcW w:type="dxa" w:w="2484"/>
            <w:vAlign w:val="center"/>
          </w:tcPr>
          <w:p>
            <w:r>
              <w:t>Sensitive records must remain private.</w:t>
            </w:r>
          </w:p>
        </w:tc>
        <w:tc>
          <w:tcPr>
            <w:tcW w:type="dxa" w:w="2484"/>
            <w:vAlign w:val="center"/>
          </w:tcPr>
          <w:p>
            <w:r>
              <w:t>Unauthorized modification could corrupt records, permissions or business data.</w:t>
            </w:r>
          </w:p>
        </w:tc>
        <w:tc>
          <w:tcPr>
            <w:tcW w:type="dxa" w:w="2484"/>
            <w:vAlign w:val="center"/>
          </w:tcPr>
          <w:p>
            <w:r>
              <w:t>Business functions relying on the records must remain operational.</w:t>
            </w:r>
          </w:p>
        </w:tc>
      </w:tr>
      <w:tr>
        <w:tc>
          <w:tcPr>
            <w:tcW w:type="dxa" w:w="2484"/>
            <w:vAlign w:val="center"/>
          </w:tcPr>
          <w:p>
            <w:r>
              <w:t>Ubuntu web server</w:t>
            </w:r>
          </w:p>
        </w:tc>
        <w:tc>
          <w:tcPr>
            <w:tcW w:type="dxa" w:w="2484"/>
            <w:vAlign w:val="center"/>
          </w:tcPr>
          <w:p>
            <w:r>
              <w:t>Configuration, credentials and application data should not be exposed.</w:t>
            </w:r>
          </w:p>
        </w:tc>
        <w:tc>
          <w:tcPr>
            <w:tcW w:type="dxa" w:w="2484"/>
            <w:vAlign w:val="center"/>
          </w:tcPr>
          <w:p>
            <w:r>
              <w:t>Unauthorized changes could alter services or enable compromise.</w:t>
            </w:r>
          </w:p>
        </w:tc>
        <w:tc>
          <w:tcPr>
            <w:tcW w:type="dxa" w:w="2484"/>
            <w:vAlign w:val="center"/>
          </w:tcPr>
          <w:p>
            <w:r>
              <w:t>The server must remain available to serve the portal.</w:t>
            </w:r>
          </w:p>
        </w:tc>
      </w:tr>
      <w:tr>
        <w:tc>
          <w:tcPr>
            <w:tcW w:type="dxa" w:w="2484"/>
            <w:vAlign w:val="center"/>
          </w:tcPr>
          <w:p>
            <w:r>
              <w:t>Employee accounts and credentials</w:t>
            </w:r>
          </w:p>
        </w:tc>
        <w:tc>
          <w:tcPr>
            <w:tcW w:type="dxa" w:w="2484"/>
            <w:vAlign w:val="center"/>
          </w:tcPr>
          <w:p>
            <w:r>
              <w:t>Passwords and authentication material must remain secret.</w:t>
            </w:r>
          </w:p>
        </w:tc>
        <w:tc>
          <w:tcPr>
            <w:tcW w:type="dxa" w:w="2484"/>
            <w:vAlign w:val="center"/>
          </w:tcPr>
          <w:p>
            <w:r>
              <w:t>Accounts and privileges must not be changed without authorization.</w:t>
            </w:r>
          </w:p>
        </w:tc>
        <w:tc>
          <w:tcPr>
            <w:tcW w:type="dxa" w:w="2484"/>
            <w:vAlign w:val="center"/>
          </w:tcPr>
          <w:p>
            <w:r>
              <w:t>Employees need dependable access to required systems.</w:t>
            </w:r>
          </w:p>
        </w:tc>
      </w:tr>
      <w:tr>
        <w:tc>
          <w:tcPr>
            <w:tcW w:type="dxa" w:w="2484"/>
            <w:vAlign w:val="center"/>
          </w:tcPr>
          <w:p>
            <w:r>
              <w:t>Employee workstations</w:t>
            </w:r>
          </w:p>
        </w:tc>
        <w:tc>
          <w:tcPr>
            <w:tcW w:type="dxa" w:w="2484"/>
            <w:vAlign w:val="center"/>
          </w:tcPr>
          <w:p>
            <w:r>
              <w:t>Local business data and authentication material must be protected.</w:t>
            </w:r>
          </w:p>
        </w:tc>
        <w:tc>
          <w:tcPr>
            <w:tcW w:type="dxa" w:w="2484"/>
            <w:vAlign w:val="center"/>
          </w:tcPr>
          <w:p>
            <w:r>
              <w:t>Unauthorized modification can affect business operations and endpoint trust.</w:t>
            </w:r>
          </w:p>
        </w:tc>
        <w:tc>
          <w:tcPr>
            <w:tcW w:type="dxa" w:w="2484"/>
            <w:vAlign w:val="center"/>
          </w:tcPr>
          <w:p>
            <w:r>
              <w:t>Employees need functioning endpoints.</w:t>
            </w:r>
          </w:p>
        </w:tc>
      </w:tr>
      <w:tr>
        <w:tc>
          <w:tcPr>
            <w:tcW w:type="dxa" w:w="2484"/>
            <w:vAlign w:val="center"/>
          </w:tcPr>
          <w:p>
            <w:r>
              <w:t>Internal company website</w:t>
            </w:r>
          </w:p>
        </w:tc>
        <w:tc>
          <w:tcPr>
            <w:tcW w:type="dxa" w:w="2484"/>
            <w:vAlign w:val="center"/>
          </w:tcPr>
          <w:p>
            <w:r>
              <w:t>Internal information should only be available to intended users.</w:t>
            </w:r>
          </w:p>
        </w:tc>
        <w:tc>
          <w:tcPr>
            <w:tcW w:type="dxa" w:w="2484"/>
            <w:vAlign w:val="center"/>
          </w:tcPr>
          <w:p>
            <w:r>
              <w:t>Content must not be altered by unauthorized users.</w:t>
            </w:r>
          </w:p>
        </w:tc>
        <w:tc>
          <w:tcPr>
            <w:tcW w:type="dxa" w:w="2484"/>
            <w:vAlign w:val="center"/>
          </w:tcPr>
          <w:p>
            <w:r>
              <w:t>Employees must be able to access required internal information.</w:t>
            </w:r>
          </w:p>
        </w:tc>
      </w:tr>
      <w:tr>
        <w:tc>
          <w:tcPr>
            <w:tcW w:type="dxa" w:w="2484"/>
            <w:vAlign w:val="center"/>
          </w:tcPr>
          <w:p>
            <w:r>
              <w:t>Internet-facing connection</w:t>
            </w:r>
          </w:p>
        </w:tc>
        <w:tc>
          <w:tcPr>
            <w:tcW w:type="dxa" w:w="2484"/>
            <w:vAlign w:val="center"/>
          </w:tcPr>
          <w:p>
            <w:r>
              <w:t>Exposure should not disclose internal services.</w:t>
            </w:r>
          </w:p>
        </w:tc>
        <w:tc>
          <w:tcPr>
            <w:tcW w:type="dxa" w:w="2484"/>
            <w:vAlign w:val="center"/>
          </w:tcPr>
          <w:p>
            <w:r>
              <w:t>Network exposure and routing should not be manipulated.</w:t>
            </w:r>
          </w:p>
        </w:tc>
        <w:tc>
          <w:tcPr>
            <w:tcW w:type="dxa" w:w="2484"/>
            <w:vAlign w:val="center"/>
          </w:tcPr>
          <w:p>
            <w:r>
              <w:t>Connectivity is required for customer-facing services and remote work.</w:t>
            </w:r>
          </w:p>
        </w:tc>
      </w:tr>
    </w:tbl>
    <w:p>
      <w:pPr>
        <w:pStyle w:val="Heading1"/>
      </w:pPr>
      <w:r>
        <w:t>5. Risk Assessment</w:t>
      </w:r>
    </w:p>
    <w:p>
      <w:r>
        <w:rPr>
          <w:b w:val="0"/>
          <w:i w:val="0"/>
        </w:rPr>
        <w:t>The initial risk assessment established the business context for the controlled attack simulations. Final priorities below reflect the findings investigated during Weeks 2 and 3 while retaining the qualitative risk language used in the handbook.</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2F3"/>
            <w:vAlign w:val="center"/>
          </w:tcPr>
          <w:p>
            <w:r>
              <w:t>Asset</w:t>
            </w:r>
          </w:p>
        </w:tc>
        <w:tc>
          <w:tcPr>
            <w:tcW w:type="dxa" w:w="1656"/>
            <w:shd w:fill="D9E2F3"/>
            <w:vAlign w:val="center"/>
          </w:tcPr>
          <w:p>
            <w:r>
              <w:t>Threat</w:t>
            </w:r>
          </w:p>
        </w:tc>
        <w:tc>
          <w:tcPr>
            <w:tcW w:type="dxa" w:w="1656"/>
            <w:shd w:fill="D9E2F3"/>
            <w:vAlign w:val="center"/>
          </w:tcPr>
          <w:p>
            <w:r>
              <w:t>Exposure / Weakness</w:t>
            </w:r>
          </w:p>
        </w:tc>
        <w:tc>
          <w:tcPr>
            <w:tcW w:type="dxa" w:w="1656"/>
            <w:shd w:fill="D9E2F3"/>
            <w:vAlign w:val="center"/>
          </w:tcPr>
          <w:p>
            <w:r>
              <w:t>Business Impact</w:t>
            </w:r>
          </w:p>
        </w:tc>
        <w:tc>
          <w:tcPr>
            <w:tcW w:type="dxa" w:w="1656"/>
            <w:shd w:fill="D9E2F3"/>
            <w:vAlign w:val="center"/>
          </w:tcPr>
          <w:p>
            <w:r>
              <w:t>Risk</w:t>
            </w:r>
          </w:p>
        </w:tc>
        <w:tc>
          <w:tcPr>
            <w:tcW w:type="dxa" w:w="1656"/>
            <w:shd w:fill="D9E2F3"/>
            <w:vAlign w:val="center"/>
          </w:tcPr>
          <w:p>
            <w:r>
              <w:t>Control</w:t>
            </w:r>
          </w:p>
        </w:tc>
      </w:tr>
      <w:tr>
        <w:tc>
          <w:tcPr>
            <w:tcW w:type="dxa" w:w="1656"/>
            <w:vAlign w:val="center"/>
          </w:tcPr>
          <w:p>
            <w:r>
              <w:t>Customer portal</w:t>
            </w:r>
          </w:p>
        </w:tc>
        <w:tc>
          <w:tcPr>
            <w:tcW w:type="dxa" w:w="1656"/>
            <w:vAlign w:val="center"/>
          </w:tcPr>
          <w:p>
            <w:r>
              <w:t>SQL injection</w:t>
            </w:r>
          </w:p>
        </w:tc>
        <w:tc>
          <w:tcPr>
            <w:tcW w:type="dxa" w:w="1656"/>
            <w:vAlign w:val="center"/>
          </w:tcPr>
          <w:p>
            <w:r>
              <w:t>Unsanitized application input may reach SQL expressions.</w:t>
            </w:r>
          </w:p>
        </w:tc>
        <w:tc>
          <w:tcPr>
            <w:tcW w:type="dxa" w:w="1656"/>
            <w:vAlign w:val="center"/>
          </w:tcPr>
          <w:p>
            <w:r>
              <w:t>Unauthorized data disclosure or manipulation.</w:t>
            </w:r>
          </w:p>
        </w:tc>
        <w:tc>
          <w:tcPr>
            <w:tcW w:type="dxa" w:w="1656"/>
            <w:vAlign w:val="center"/>
          </w:tcPr>
          <w:p>
            <w:r>
              <w:t>High</w:t>
            </w:r>
          </w:p>
        </w:tc>
        <w:tc>
          <w:tcPr>
            <w:tcW w:type="dxa" w:w="1656"/>
            <w:vAlign w:val="center"/>
          </w:tcPr>
          <w:p>
            <w:r>
              <w:t>Parameterized queries, server-side validation and least-privilege database access.</w:t>
            </w:r>
          </w:p>
        </w:tc>
      </w:tr>
      <w:tr>
        <w:tc>
          <w:tcPr>
            <w:tcW w:type="dxa" w:w="1656"/>
            <w:vAlign w:val="center"/>
          </w:tcPr>
          <w:p>
            <w:r>
              <w:t>Customer portal</w:t>
            </w:r>
          </w:p>
        </w:tc>
        <w:tc>
          <w:tcPr>
            <w:tcW w:type="dxa" w:w="1656"/>
            <w:vAlign w:val="center"/>
          </w:tcPr>
          <w:p>
            <w:r>
              <w:t>Brute force</w:t>
            </w:r>
          </w:p>
        </w:tc>
        <w:tc>
          <w:tcPr>
            <w:tcW w:type="dxa" w:w="1656"/>
            <w:vAlign w:val="center"/>
          </w:tcPr>
          <w:p>
            <w:r>
              <w:t>Repeated authentication attempts against weak credentials.</w:t>
            </w:r>
          </w:p>
        </w:tc>
        <w:tc>
          <w:tcPr>
            <w:tcW w:type="dxa" w:w="1656"/>
            <w:vAlign w:val="center"/>
          </w:tcPr>
          <w:p>
            <w:r>
              <w:t>Account compromise and unauthorized access.</w:t>
            </w:r>
          </w:p>
        </w:tc>
        <w:tc>
          <w:tcPr>
            <w:tcW w:type="dxa" w:w="1656"/>
            <w:vAlign w:val="center"/>
          </w:tcPr>
          <w:p>
            <w:r>
              <w:t>High</w:t>
            </w:r>
          </w:p>
        </w:tc>
        <w:tc>
          <w:tcPr>
            <w:tcW w:type="dxa" w:w="1656"/>
            <w:vAlign w:val="center"/>
          </w:tcPr>
          <w:p>
            <w:r>
              <w:t>Strong passwords, rate limiting, lockout/anti-automation controls and MFA.</w:t>
            </w:r>
          </w:p>
        </w:tc>
      </w:tr>
      <w:tr>
        <w:tc>
          <w:tcPr>
            <w:tcW w:type="dxa" w:w="1656"/>
            <w:vAlign w:val="center"/>
          </w:tcPr>
          <w:p>
            <w:r>
              <w:t>Customer portal</w:t>
            </w:r>
          </w:p>
        </w:tc>
        <w:tc>
          <w:tcPr>
            <w:tcW w:type="dxa" w:w="1656"/>
            <w:vAlign w:val="center"/>
          </w:tcPr>
          <w:p>
            <w:r>
              <w:t>Cross-site scripting</w:t>
            </w:r>
          </w:p>
        </w:tc>
        <w:tc>
          <w:tcPr>
            <w:tcW w:type="dxa" w:w="1656"/>
            <w:vAlign w:val="center"/>
          </w:tcPr>
          <w:p>
            <w:r>
              <w:t>Untrusted input may be rendered without adequate output encoding.</w:t>
            </w:r>
          </w:p>
        </w:tc>
        <w:tc>
          <w:tcPr>
            <w:tcW w:type="dxa" w:w="1656"/>
            <w:vAlign w:val="center"/>
          </w:tcPr>
          <w:p>
            <w:r>
              <w:t>Script execution in a user's browser and possible session/data compromise.</w:t>
            </w:r>
          </w:p>
        </w:tc>
        <w:tc>
          <w:tcPr>
            <w:tcW w:type="dxa" w:w="1656"/>
            <w:vAlign w:val="center"/>
          </w:tcPr>
          <w:p>
            <w:r>
              <w:t>High</w:t>
            </w:r>
          </w:p>
        </w:tc>
        <w:tc>
          <w:tcPr>
            <w:tcW w:type="dxa" w:w="1656"/>
            <w:vAlign w:val="center"/>
          </w:tcPr>
          <w:p>
            <w:r>
              <w:t>Context-aware output encoding, input validation and CSP.</w:t>
            </w:r>
          </w:p>
        </w:tc>
      </w:tr>
      <w:tr>
        <w:tc>
          <w:tcPr>
            <w:tcW w:type="dxa" w:w="1656"/>
            <w:vAlign w:val="center"/>
          </w:tcPr>
          <w:p>
            <w:r>
              <w:t>Ubuntu web server</w:t>
            </w:r>
          </w:p>
        </w:tc>
        <w:tc>
          <w:tcPr>
            <w:tcW w:type="dxa" w:w="1656"/>
            <w:vAlign w:val="center"/>
          </w:tcPr>
          <w:p>
            <w:r>
              <w:t>Command injection</w:t>
            </w:r>
          </w:p>
        </w:tc>
        <w:tc>
          <w:tcPr>
            <w:tcW w:type="dxa" w:w="1656"/>
            <w:vAlign w:val="center"/>
          </w:tcPr>
          <w:p>
            <w:r>
              <w:t>Application input may reach operating-system commands without safe handling.</w:t>
            </w:r>
          </w:p>
        </w:tc>
        <w:tc>
          <w:tcPr>
            <w:tcW w:type="dxa" w:w="1656"/>
            <w:vAlign w:val="center"/>
          </w:tcPr>
          <w:p>
            <w:r>
              <w:t>Unauthorized command execution and potential server compromise.</w:t>
            </w:r>
          </w:p>
        </w:tc>
        <w:tc>
          <w:tcPr>
            <w:tcW w:type="dxa" w:w="1656"/>
            <w:vAlign w:val="center"/>
          </w:tcPr>
          <w:p>
            <w:r>
              <w:t>Critical</w:t>
            </w:r>
          </w:p>
        </w:tc>
        <w:tc>
          <w:tcPr>
            <w:tcW w:type="dxa" w:w="1656"/>
            <w:vAlign w:val="center"/>
          </w:tcPr>
          <w:p>
            <w:r>
              <w:t>Avoid shell execution; use safe APIs, strict allowlists and least privilege.</w:t>
            </w:r>
          </w:p>
        </w:tc>
      </w:tr>
      <w:tr>
        <w:tc>
          <w:tcPr>
            <w:tcW w:type="dxa" w:w="1656"/>
            <w:vAlign w:val="center"/>
          </w:tcPr>
          <w:p>
            <w:r>
              <w:t>Employee accounts</w:t>
            </w:r>
          </w:p>
        </w:tc>
        <w:tc>
          <w:tcPr>
            <w:tcW w:type="dxa" w:w="1656"/>
            <w:vAlign w:val="center"/>
          </w:tcPr>
          <w:p>
            <w:r>
              <w:t>Phishing / credential theft</w:t>
            </w:r>
          </w:p>
        </w:tc>
        <w:tc>
          <w:tcPr>
            <w:tcW w:type="dxa" w:w="1656"/>
            <w:vAlign w:val="center"/>
          </w:tcPr>
          <w:p>
            <w:r>
              <w:t>Human-targeted attacks can expose authentication material.</w:t>
            </w:r>
          </w:p>
        </w:tc>
        <w:tc>
          <w:tcPr>
            <w:tcW w:type="dxa" w:w="1656"/>
            <w:vAlign w:val="center"/>
          </w:tcPr>
          <w:p>
            <w:r>
              <w:t>Unauthorized access to business systems and data.</w:t>
            </w:r>
          </w:p>
        </w:tc>
        <w:tc>
          <w:tcPr>
            <w:tcW w:type="dxa" w:w="1656"/>
            <w:vAlign w:val="center"/>
          </w:tcPr>
          <w:p>
            <w:r>
              <w:t>High</w:t>
            </w:r>
          </w:p>
        </w:tc>
        <w:tc>
          <w:tcPr>
            <w:tcW w:type="dxa" w:w="1656"/>
            <w:vAlign w:val="center"/>
          </w:tcPr>
          <w:p>
            <w:r>
              <w:t>MFA, phishing-resistant authentication where practical, awareness and email protections.</w:t>
            </w:r>
          </w:p>
        </w:tc>
      </w:tr>
      <w:tr>
        <w:tc>
          <w:tcPr>
            <w:tcW w:type="dxa" w:w="1656"/>
            <w:vAlign w:val="center"/>
          </w:tcPr>
          <w:p>
            <w:r>
              <w:t>Endpoints / server</w:t>
            </w:r>
          </w:p>
        </w:tc>
        <w:tc>
          <w:tcPr>
            <w:tcW w:type="dxa" w:w="1656"/>
            <w:vAlign w:val="center"/>
          </w:tcPr>
          <w:p>
            <w:r>
              <w:t>Malware</w:t>
            </w:r>
          </w:p>
        </w:tc>
        <w:tc>
          <w:tcPr>
            <w:tcW w:type="dxa" w:w="1656"/>
            <w:vAlign w:val="center"/>
          </w:tcPr>
          <w:p>
            <w:r>
              <w:t>Malicious software could execute on business systems.</w:t>
            </w:r>
          </w:p>
        </w:tc>
        <w:tc>
          <w:tcPr>
            <w:tcW w:type="dxa" w:w="1656"/>
            <w:vAlign w:val="center"/>
          </w:tcPr>
          <w:p>
            <w:r>
              <w:t>Data loss, service disruption or credential compromise.</w:t>
            </w:r>
          </w:p>
        </w:tc>
        <w:tc>
          <w:tcPr>
            <w:tcW w:type="dxa" w:w="1656"/>
            <w:vAlign w:val="center"/>
          </w:tcPr>
          <w:p>
            <w:r>
              <w:t>High</w:t>
            </w:r>
          </w:p>
        </w:tc>
        <w:tc>
          <w:tcPr>
            <w:tcW w:type="dxa" w:w="1656"/>
            <w:vAlign w:val="center"/>
          </w:tcPr>
          <w:p>
            <w:r>
              <w:t>Endpoint protection, patching, least privilege, centralized logging and tested backups.</w:t>
            </w:r>
          </w:p>
        </w:tc>
      </w:tr>
      <w:tr>
        <w:tc>
          <w:tcPr>
            <w:tcW w:type="dxa" w:w="1656"/>
            <w:vAlign w:val="center"/>
          </w:tcPr>
          <w:p>
            <w:r>
              <w:t>Business data</w:t>
            </w:r>
          </w:p>
        </w:tc>
        <w:tc>
          <w:tcPr>
            <w:tcW w:type="dxa" w:w="1656"/>
            <w:vAlign w:val="center"/>
          </w:tcPr>
          <w:p>
            <w:r>
              <w:t>Insider threat</w:t>
            </w:r>
          </w:p>
        </w:tc>
        <w:tc>
          <w:tcPr>
            <w:tcW w:type="dxa" w:w="1656"/>
            <w:vAlign w:val="center"/>
          </w:tcPr>
          <w:p>
            <w:r>
              <w:t>Legitimate access can be abused or misused.</w:t>
            </w:r>
          </w:p>
        </w:tc>
        <w:tc>
          <w:tcPr>
            <w:tcW w:type="dxa" w:w="1656"/>
            <w:vAlign w:val="center"/>
          </w:tcPr>
          <w:p>
            <w:r>
              <w:t>Unauthorized disclosure or alteration.</w:t>
            </w:r>
          </w:p>
        </w:tc>
        <w:tc>
          <w:tcPr>
            <w:tcW w:type="dxa" w:w="1656"/>
            <w:vAlign w:val="center"/>
          </w:tcPr>
          <w:p>
            <w:r>
              <w:t>Medium–High</w:t>
            </w:r>
          </w:p>
        </w:tc>
        <w:tc>
          <w:tcPr>
            <w:tcW w:type="dxa" w:w="1656"/>
            <w:vAlign w:val="center"/>
          </w:tcPr>
          <w:p>
            <w:r>
              <w:t>Least privilege, access reviews, audit logging and separation of duties.</w:t>
            </w:r>
          </w:p>
        </w:tc>
      </w:tr>
      <w:tr>
        <w:tc>
          <w:tcPr>
            <w:tcW w:type="dxa" w:w="1656"/>
            <w:vAlign w:val="center"/>
          </w:tcPr>
          <w:p>
            <w:r>
              <w:t>Internet-facing connection</w:t>
            </w:r>
          </w:p>
        </w:tc>
        <w:tc>
          <w:tcPr>
            <w:tcW w:type="dxa" w:w="1656"/>
            <w:vAlign w:val="center"/>
          </w:tcPr>
          <w:p>
            <w:r>
              <w:t>Unauthorized scanning / exploitation</w:t>
            </w:r>
          </w:p>
        </w:tc>
        <w:tc>
          <w:tcPr>
            <w:tcW w:type="dxa" w:w="1656"/>
            <w:vAlign w:val="center"/>
          </w:tcPr>
          <w:p>
            <w:r>
              <w:t>Externally reachable services increase attack surface.</w:t>
            </w:r>
          </w:p>
        </w:tc>
        <w:tc>
          <w:tcPr>
            <w:tcW w:type="dxa" w:w="1656"/>
            <w:vAlign w:val="center"/>
          </w:tcPr>
          <w:p>
            <w:r>
              <w:t>Service compromise or disruption.</w:t>
            </w:r>
          </w:p>
        </w:tc>
        <w:tc>
          <w:tcPr>
            <w:tcW w:type="dxa" w:w="1656"/>
            <w:vAlign w:val="center"/>
          </w:tcPr>
          <w:p>
            <w:r>
              <w:t>High</w:t>
            </w:r>
          </w:p>
        </w:tc>
        <w:tc>
          <w:tcPr>
            <w:tcW w:type="dxa" w:w="1656"/>
            <w:vAlign w:val="center"/>
          </w:tcPr>
          <w:p>
            <w:r>
              <w:t>Minimize exposed services, segment systems, patch regularly and monitor external activity.</w:t>
            </w:r>
          </w:p>
        </w:tc>
      </w:tr>
    </w:tbl>
    <w:p>
      <w:pPr>
        <w:pStyle w:val="Heading1"/>
      </w:pPr>
      <w:r>
        <w:t>6. Methodology</w:t>
      </w:r>
    </w:p>
    <w:p>
      <w:r>
        <w:rPr>
          <w:b w:val="0"/>
          <w:i w:val="0"/>
        </w:rPr>
        <w:t>The engagement followed the consulting methodology defined in the SecureCorp handbook. Week 1 established scope, assets and monitoring; Week 2 performed four controlled attack simulations; Week 3 investigated the resulting activity through Wazuh and supporting Linux/web telemetry; Week 4 translated the results into remediation guidance and a client-facing conclusion.</w:t>
      </w:r>
    </w:p>
    <w:p>
      <w:pPr>
        <w:pStyle w:val="Heading2"/>
      </w:pPr>
      <w:r>
        <w:t>6.1 Lab and Monitoring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vAlign w:val="center"/>
          </w:tcPr>
          <w:p>
            <w:r>
              <w:t>Role</w:t>
            </w:r>
          </w:p>
        </w:tc>
        <w:tc>
          <w:tcPr>
            <w:tcW w:type="dxa" w:w="3312"/>
            <w:shd w:fill="D9E2F3"/>
            <w:vAlign w:val="center"/>
          </w:tcPr>
          <w:p>
            <w:r>
              <w:t>System</w:t>
            </w:r>
          </w:p>
        </w:tc>
        <w:tc>
          <w:tcPr>
            <w:tcW w:type="dxa" w:w="3312"/>
            <w:shd w:fill="D9E2F3"/>
            <w:vAlign w:val="center"/>
          </w:tcPr>
          <w:p>
            <w:r>
              <w:t>Address / Identity</w:t>
            </w:r>
          </w:p>
        </w:tc>
      </w:tr>
      <w:tr>
        <w:tc>
          <w:tcPr>
            <w:tcW w:type="dxa" w:w="3312"/>
            <w:vAlign w:val="center"/>
          </w:tcPr>
          <w:p>
            <w:r>
              <w:t>Central Wazuh manager</w:t>
            </w:r>
          </w:p>
        </w:tc>
        <w:tc>
          <w:tcPr>
            <w:tcW w:type="dxa" w:w="3312"/>
            <w:vAlign w:val="center"/>
          </w:tcPr>
          <w:p>
            <w:r>
              <w:t>Arch Linux host</w:t>
            </w:r>
          </w:p>
        </w:tc>
        <w:tc>
          <w:tcPr>
            <w:tcW w:type="dxa" w:w="3312"/>
            <w:vAlign w:val="center"/>
          </w:tcPr>
          <w:p>
            <w:r>
              <w:t>192.168.1.8</w:t>
            </w:r>
          </w:p>
        </w:tc>
      </w:tr>
      <w:tr>
        <w:tc>
          <w:tcPr>
            <w:tcW w:type="dxa" w:w="3312"/>
            <w:vAlign w:val="center"/>
          </w:tcPr>
          <w:p>
            <w:r>
              <w:t>Authorized attacker</w:t>
            </w:r>
          </w:p>
        </w:tc>
        <w:tc>
          <w:tcPr>
            <w:tcW w:type="dxa" w:w="3312"/>
            <w:vAlign w:val="center"/>
          </w:tcPr>
          <w:p>
            <w:r>
              <w:t>Kali Linux VM</w:t>
            </w:r>
          </w:p>
        </w:tc>
        <w:tc>
          <w:tcPr>
            <w:tcW w:type="dxa" w:w="3312"/>
            <w:vAlign w:val="center"/>
          </w:tcPr>
          <w:p>
            <w:r>
              <w:t>neil-kali-2026Q35 — 192.168.110.16</w:t>
            </w:r>
          </w:p>
        </w:tc>
      </w:tr>
      <w:tr>
        <w:tc>
          <w:tcPr>
            <w:tcW w:type="dxa" w:w="3312"/>
            <w:vAlign w:val="center"/>
          </w:tcPr>
          <w:p>
            <w:r>
              <w:t>Target / Wazuh agent</w:t>
            </w:r>
          </w:p>
        </w:tc>
        <w:tc>
          <w:tcPr>
            <w:tcW w:type="dxa" w:w="3312"/>
            <w:vAlign w:val="center"/>
          </w:tcPr>
          <w:p>
            <w:r>
              <w:t>Ubuntu VM</w:t>
            </w:r>
          </w:p>
        </w:tc>
        <w:tc>
          <w:tcPr>
            <w:tcW w:type="dxa" w:w="3312"/>
            <w:vAlign w:val="center"/>
          </w:tcPr>
          <w:p>
            <w:r>
              <w:t>neil-Standardpc-Q35-ICH9-2009 — 192.168.112.138</w:t>
            </w:r>
          </w:p>
        </w:tc>
      </w:tr>
    </w:tbl>
    <w:p>
      <w:r>
        <w:rPr>
          <w:b w:val="0"/>
          <w:i w:val="0"/>
        </w:rPr>
        <w:t>Both Kali and Ubuntu were operated as libvirt virtual machines in the primary lab. The Arch host provided the central Wazuh manager/dashboard. The Ubuntu endpoint hosted DVWA and the associated application/server telemetry. The documented monitoring stack included Apache, MariaDB, PHP, SSH, auditd and the Wazuh agent.</w:t>
      </w:r>
    </w:p>
    <w:p>
      <w:pPr>
        <w:pStyle w:val="Heading2"/>
      </w:pPr>
      <w:r>
        <w:t>6.2 Evidence Collection</w:t>
      </w:r>
    </w:p>
    <w:p>
      <w:r>
        <w:rPr>
          <w:b w:val="0"/>
          <w:i w:val="0"/>
        </w:rPr>
        <w:t>Evidence was organized by week and source. Week 1 contains the documented Ubuntu setup, service, connectivity, DVWA and Wazuh enrollment screenshots. The project repository contains the Week 1 Ubuntu evidence directory. Week 2 and Week 3 evidence is represented by the attack transcripts, detection notes and reconstructed records prepared for the assessment, with real screenshots to be inserted where available.</w:t>
      </w:r>
    </w:p>
    <w:p>
      <w:r>
        <w:rPr>
          <w:b w:val="0"/>
          <w:i w:val="0"/>
        </w:rPr>
        <w:t>Repository: github.com/Amevrynx/aenexz/tree/master/SecureCorp/Screenshots/ubuntu</w:t>
      </w:r>
    </w:p>
    <w:p>
      <w:pPr>
        <w:pStyle w:val="Heading2"/>
      </w:pPr>
      <w:r>
        <w:t>6.3 Assessment Workflow</w:t>
      </w:r>
    </w:p>
    <w:p>
      <w:r>
        <w:rPr>
          <w:b w:val="0"/>
          <w:i w:val="0"/>
        </w:rPr>
        <w:t>The workflow was intentionally sequential: establish the environment; identify assets and risk; perform controlled discovery; map the DVWA attack surface; execute the four required simulations; collect application and endpoint telemetry; investigate the activity through Wazuh; correlate web, authentication and endpoint evidence; and convert the findings into prioritized remediation.</w:t>
      </w:r>
    </w:p>
    <w:p>
      <w:r>
        <w:rPr>
          <w:b w:val="0"/>
          <w:i w:val="0"/>
        </w:rPr>
        <w:t>For Week 3, the documented detection methodology was not limited to manual log searching. SQL injection and XSS were mapped to Wazuh web-log rules 31103 and 31106; command injection was mapped to 31103, 31108 and auditd/80792 where privileged execution conditions were present; SSH brute force was mapped to 5710 and 5763, with 5720 and 5716 providing supporting authentication context when applicable.</w:t>
      </w:r>
    </w:p>
    <w:p>
      <w:pPr>
        <w:pStyle w:val="Heading1"/>
      </w:pPr>
      <w:r>
        <w:t>7. Attack Simulation Findings</w:t>
      </w:r>
    </w:p>
    <w:p>
      <w:r>
        <w:rPr>
          <w:b w:val="0"/>
          <w:i w:val="0"/>
        </w:rPr>
        <w:t>The Week 2 assessment was restricted to the four DVWA attack scenarios specified by the handbook. The results below describe the assessment outcomes and the evidence path. Exact historical timestamps are left as evidence fields where the original timestamp cannot be verified from the available materials.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2F3"/>
            <w:vAlign w:val="center"/>
          </w:tcPr>
          <w:p>
            <w:r>
              <w:t>Attack</w:t>
            </w:r>
          </w:p>
        </w:tc>
        <w:tc>
          <w:tcPr>
            <w:tcW w:type="dxa" w:w="1656"/>
            <w:shd w:fill="D9E2F3"/>
            <w:vAlign w:val="center"/>
          </w:tcPr>
          <w:p>
            <w:r>
              <w:t>Target / Module</w:t>
            </w:r>
          </w:p>
        </w:tc>
        <w:tc>
          <w:tcPr>
            <w:tcW w:type="dxa" w:w="1656"/>
            <w:shd w:fill="D9E2F3"/>
            <w:vAlign w:val="center"/>
          </w:tcPr>
          <w:p>
            <w:r>
              <w:t>Timestamp</w:t>
            </w:r>
          </w:p>
        </w:tc>
        <w:tc>
          <w:tcPr>
            <w:tcW w:type="dxa" w:w="1656"/>
            <w:shd w:fill="D9E2F3"/>
            <w:vAlign w:val="center"/>
          </w:tcPr>
          <w:p>
            <w:r>
              <w:t>Result</w:t>
            </w:r>
          </w:p>
        </w:tc>
        <w:tc>
          <w:tcPr>
            <w:tcW w:type="dxa" w:w="1656"/>
            <w:shd w:fill="D9E2F3"/>
            <w:vAlign w:val="center"/>
          </w:tcPr>
          <w:p>
            <w:r>
              <w:t>Evidence</w:t>
            </w:r>
          </w:p>
        </w:tc>
        <w:tc>
          <w:tcPr>
            <w:tcW w:type="dxa" w:w="1656"/>
            <w:shd w:fill="D9E2F3"/>
            <w:vAlign w:val="center"/>
          </w:tcPr>
          <w:p>
            <w:r>
              <w:t>Risk</w:t>
            </w:r>
          </w:p>
        </w:tc>
      </w:tr>
      <w:tr>
        <w:tc>
          <w:tcPr>
            <w:tcW w:type="dxa" w:w="1656"/>
            <w:vAlign w:val="center"/>
          </w:tcPr>
          <w:p>
            <w:r>
              <w:t>Brute force</w:t>
            </w:r>
          </w:p>
        </w:tc>
        <w:tc>
          <w:tcPr>
            <w:tcW w:type="dxa" w:w="1656"/>
            <w:vAlign w:val="center"/>
          </w:tcPr>
          <w:p>
            <w:r>
              <w:t>DVWA Brute Force + controlled SSH account</w:t>
            </w:r>
          </w:p>
        </w:tc>
        <w:tc>
          <w:tcPr>
            <w:tcW w:type="dxa" w:w="1656"/>
            <w:vAlign w:val="center"/>
          </w:tcPr>
          <w:p>
            <w:r>
              <w:t>[insert verified timestamp]</w:t>
            </w:r>
          </w:p>
        </w:tc>
        <w:tc>
          <w:tcPr>
            <w:tcW w:type="dxa" w:w="1656"/>
            <w:vAlign w:val="center"/>
          </w:tcPr>
          <w:p>
            <w:r>
              <w:t>Controlled repeated authentication attempts; Wazuh investigation mapped the activity to SSH authentication telemetry.</w:t>
            </w:r>
          </w:p>
        </w:tc>
        <w:tc>
          <w:tcPr>
            <w:tcW w:type="dxa" w:w="1656"/>
            <w:vAlign w:val="center"/>
          </w:tcPr>
          <w:p>
            <w:r>
              <w:t>Week2 brute-force transcript + Week3 Wazuh evidence</w:t>
            </w:r>
          </w:p>
        </w:tc>
        <w:tc>
          <w:tcPr>
            <w:tcW w:type="dxa" w:w="1656"/>
            <w:vAlign w:val="center"/>
          </w:tcPr>
          <w:p>
            <w:r>
              <w:t>High</w:t>
            </w:r>
          </w:p>
        </w:tc>
      </w:tr>
      <w:tr>
        <w:tc>
          <w:tcPr>
            <w:tcW w:type="dxa" w:w="1656"/>
            <w:vAlign w:val="center"/>
          </w:tcPr>
          <w:p>
            <w:r>
              <w:t>SQL injection</w:t>
            </w:r>
          </w:p>
        </w:tc>
        <w:tc>
          <w:tcPr>
            <w:tcW w:type="dxa" w:w="1656"/>
            <w:vAlign w:val="center"/>
          </w:tcPr>
          <w:p>
            <w:r>
              <w:t>DVWA SQL Injection</w:t>
            </w:r>
          </w:p>
        </w:tc>
        <w:tc>
          <w:tcPr>
            <w:tcW w:type="dxa" w:w="1656"/>
            <w:vAlign w:val="center"/>
          </w:tcPr>
          <w:p>
            <w:r>
              <w:t>[insert verified timestamp]</w:t>
            </w:r>
          </w:p>
        </w:tc>
        <w:tc>
          <w:tcPr>
            <w:tcW w:type="dxa" w:w="1656"/>
            <w:vAlign w:val="center"/>
          </w:tcPr>
          <w:p>
            <w:r>
              <w:t>Controlled SQL injection demonstrated unsafe input handling and data-disclosure potential.</w:t>
            </w:r>
          </w:p>
        </w:tc>
        <w:tc>
          <w:tcPr>
            <w:tcW w:type="dxa" w:w="1656"/>
            <w:vAlign w:val="center"/>
          </w:tcPr>
          <w:p>
            <w:r>
              <w:t>Week2 SQLi evidence + Wazuh 31103/31106 investigation</w:t>
            </w:r>
          </w:p>
        </w:tc>
        <w:tc>
          <w:tcPr>
            <w:tcW w:type="dxa" w:w="1656"/>
            <w:vAlign w:val="center"/>
          </w:tcPr>
          <w:p>
            <w:r>
              <w:t>High</w:t>
            </w:r>
          </w:p>
        </w:tc>
      </w:tr>
      <w:tr>
        <w:tc>
          <w:tcPr>
            <w:tcW w:type="dxa" w:w="1656"/>
            <w:vAlign w:val="center"/>
          </w:tcPr>
          <w:p>
            <w:r>
              <w:t>XSS</w:t>
            </w:r>
          </w:p>
        </w:tc>
        <w:tc>
          <w:tcPr>
            <w:tcW w:type="dxa" w:w="1656"/>
            <w:vAlign w:val="center"/>
          </w:tcPr>
          <w:p>
            <w:r>
              <w:t>DVWA XSS module</w:t>
            </w:r>
          </w:p>
        </w:tc>
        <w:tc>
          <w:tcPr>
            <w:tcW w:type="dxa" w:w="1656"/>
            <w:vAlign w:val="center"/>
          </w:tcPr>
          <w:p>
            <w:r>
              <w:t>[insert verified timestamp]</w:t>
            </w:r>
          </w:p>
        </w:tc>
        <w:tc>
          <w:tcPr>
            <w:tcW w:type="dxa" w:w="1656"/>
            <w:vAlign w:val="center"/>
          </w:tcPr>
          <w:p>
            <w:r>
              <w:t>Controlled script-injection test demonstrated client-side execution potential in the vulnerable module.</w:t>
            </w:r>
          </w:p>
        </w:tc>
        <w:tc>
          <w:tcPr>
            <w:tcW w:type="dxa" w:w="1656"/>
            <w:vAlign w:val="center"/>
          </w:tcPr>
          <w:p>
            <w:r>
              <w:t>Week2 XSS evidence + Wazuh 31103/31106 investigation</w:t>
            </w:r>
          </w:p>
        </w:tc>
        <w:tc>
          <w:tcPr>
            <w:tcW w:type="dxa" w:w="1656"/>
            <w:vAlign w:val="center"/>
          </w:tcPr>
          <w:p>
            <w:r>
              <w:t>High</w:t>
            </w:r>
          </w:p>
        </w:tc>
      </w:tr>
      <w:tr>
        <w:tc>
          <w:tcPr>
            <w:tcW w:type="dxa" w:w="1656"/>
            <w:vAlign w:val="center"/>
          </w:tcPr>
          <w:p>
            <w:r>
              <w:t>Command injection</w:t>
            </w:r>
          </w:p>
        </w:tc>
        <w:tc>
          <w:tcPr>
            <w:tcW w:type="dxa" w:w="1656"/>
            <w:vAlign w:val="center"/>
          </w:tcPr>
          <w:p>
            <w:r>
              <w:t>DVWA Command Injection</w:t>
            </w:r>
          </w:p>
        </w:tc>
        <w:tc>
          <w:tcPr>
            <w:tcW w:type="dxa" w:w="1656"/>
            <w:vAlign w:val="center"/>
          </w:tcPr>
          <w:p>
            <w:r>
              <w:t>[insert verified timestamp]</w:t>
            </w:r>
          </w:p>
        </w:tc>
        <w:tc>
          <w:tcPr>
            <w:tcW w:type="dxa" w:w="1656"/>
            <w:vAlign w:val="center"/>
          </w:tcPr>
          <w:p>
            <w:r>
              <w:t>Controlled command-injection test demonstrated the risk of application input reaching OS command execution.</w:t>
            </w:r>
          </w:p>
        </w:tc>
        <w:tc>
          <w:tcPr>
            <w:tcW w:type="dxa" w:w="1656"/>
            <w:vAlign w:val="center"/>
          </w:tcPr>
          <w:p>
            <w:r>
              <w:t>Week2 command-injection evidence + Wazuh/auditd investigation</w:t>
            </w:r>
          </w:p>
        </w:tc>
        <w:tc>
          <w:tcPr>
            <w:tcW w:type="dxa" w:w="1656"/>
            <w:vAlign w:val="center"/>
          </w:tcPr>
          <w:p>
            <w:r>
              <w:t>Critical</w:t>
            </w:r>
          </w:p>
        </w:tc>
      </w:tr>
    </w:tbl>
    <w:p>
      <w:pPr>
        <w:pStyle w:val="Heading2"/>
      </w:pPr>
      <w:r>
        <w:t>7.1 Brute Force</w:t>
      </w:r>
    </w:p>
    <w:p>
      <w:r>
        <w:rPr>
          <w:b w:val="0"/>
          <w:i w:val="0"/>
        </w:rPr>
        <w:t>The assessment covered both the DVWA brute-force module and a deliberately weak SSH account as specified by the handbook. The defensive significance is repeated authentication activity from an attacker-controlled source and the possibility of account compromise.</w:t>
      </w:r>
    </w:p>
    <w:p>
      <w:pPr>
        <w:pStyle w:val="Heading2"/>
      </w:pPr>
      <w:r>
        <w:t>7.2 SQL Injection</w:t>
      </w:r>
    </w:p>
    <w:p>
      <w:r>
        <w:rPr>
          <w:b w:val="0"/>
          <w:i w:val="0"/>
        </w:rPr>
        <w:t>The DVWA SQL Injection module was assessed at the deliberately vulnerable security level. The finding demonstrates how unsanitized application input can influence database queries and create a data-disclosure or manipulation risk.</w:t>
      </w:r>
    </w:p>
    <w:p>
      <w:pPr>
        <w:pStyle w:val="Heading2"/>
      </w:pPr>
      <w:r>
        <w:t>7.3 Cross-Site Scripting</w:t>
      </w:r>
    </w:p>
    <w:p>
      <w:r>
        <w:rPr>
          <w:b w:val="0"/>
          <w:i w:val="0"/>
        </w:rPr>
        <w:t>The DVWA XSS module was assessed to demonstrate how untrusted input can be rendered in a user's browser. The resulting risk includes script execution in a victim's browser and possible exposure of session or application data.</w:t>
      </w:r>
    </w:p>
    <w:p>
      <w:pPr>
        <w:pStyle w:val="Heading2"/>
      </w:pPr>
      <w:r>
        <w:t>7.4 Command Injection</w:t>
      </w:r>
    </w:p>
    <w:p>
      <w:r>
        <w:rPr>
          <w:b w:val="0"/>
          <w:i w:val="0"/>
        </w:rPr>
        <w:t>The DVWA command-injection module was assessed to determine whether application input could reach operating-system commands. This was treated as the highest-risk application finding because successful exploitation can extend beyond the web layer into server-level activity.</w:t>
      </w:r>
    </w:p>
    <w:p>
      <w:pPr>
        <w:pStyle w:val="Heading1"/>
      </w:pPr>
      <w:r>
        <w:t>8. Detection Notes &amp; Incident Timeline</w:t>
      </w:r>
    </w:p>
    <w:p>
      <w:r>
        <w:rPr>
          <w:b w:val="0"/>
          <w:i w:val="0"/>
        </w:rPr>
        <w:t>Week 3 investigated the same four activities from the defensive side. The documented methodology combines Wazuh rule-based detection with contextual validation and, for command injection, endpoint audit telemetry. The table records the documented mappings without manufacturing historical timestamps or alert identifiers.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Attack</w:t>
            </w:r>
          </w:p>
        </w:tc>
        <w:tc>
          <w:tcPr>
            <w:tcW w:type="dxa" w:w="2484"/>
            <w:shd w:fill="D9E2F3"/>
            <w:vAlign w:val="center"/>
          </w:tcPr>
          <w:p>
            <w:r>
              <w:t>Wazuh mapping</w:t>
            </w:r>
          </w:p>
        </w:tc>
        <w:tc>
          <w:tcPr>
            <w:tcW w:type="dxa" w:w="2484"/>
            <w:shd w:fill="D9E2F3"/>
            <w:vAlign w:val="center"/>
          </w:tcPr>
          <w:p>
            <w:r>
              <w:t>Primary telemetry</w:t>
            </w:r>
          </w:p>
        </w:tc>
        <w:tc>
          <w:tcPr>
            <w:tcW w:type="dxa" w:w="2484"/>
            <w:shd w:fill="D9E2F3"/>
            <w:vAlign w:val="center"/>
          </w:tcPr>
          <w:p>
            <w:r>
              <w:t>Investigation method</w:t>
            </w:r>
          </w:p>
        </w:tc>
      </w:tr>
      <w:tr>
        <w:tc>
          <w:tcPr>
            <w:tcW w:type="dxa" w:w="2484"/>
            <w:vAlign w:val="center"/>
          </w:tcPr>
          <w:p>
            <w:r>
              <w:t>SQL injection</w:t>
            </w:r>
          </w:p>
        </w:tc>
        <w:tc>
          <w:tcPr>
            <w:tcW w:type="dxa" w:w="2484"/>
            <w:vAlign w:val="center"/>
          </w:tcPr>
          <w:p>
            <w:r>
              <w:t>31103, 31106</w:t>
            </w:r>
          </w:p>
        </w:tc>
        <w:tc>
          <w:tcPr>
            <w:tcW w:type="dxa" w:w="2484"/>
            <w:vAlign w:val="center"/>
          </w:tcPr>
          <w:p>
            <w:r>
              <w:t>Apache/Nginx access-log line</w:t>
            </w:r>
          </w:p>
        </w:tc>
        <w:tc>
          <w:tcPr>
            <w:tcW w:type="dxa" w:w="2484"/>
            <w:vAlign w:val="center"/>
          </w:tcPr>
          <w:p>
            <w:r>
              <w:t>Web-request signature detection followed by source/request/HTTP-response correlation.</w:t>
            </w:r>
          </w:p>
        </w:tc>
      </w:tr>
      <w:tr>
        <w:tc>
          <w:tcPr>
            <w:tcW w:type="dxa" w:w="2484"/>
            <w:vAlign w:val="center"/>
          </w:tcPr>
          <w:p>
            <w:r>
              <w:t>XSS</w:t>
            </w:r>
          </w:p>
        </w:tc>
        <w:tc>
          <w:tcPr>
            <w:tcW w:type="dxa" w:w="2484"/>
            <w:vAlign w:val="center"/>
          </w:tcPr>
          <w:p>
            <w:r>
              <w:t>31103, 31106</w:t>
            </w:r>
          </w:p>
        </w:tc>
        <w:tc>
          <w:tcPr>
            <w:tcW w:type="dxa" w:w="2484"/>
            <w:vAlign w:val="center"/>
          </w:tcPr>
          <w:p>
            <w:r>
              <w:t>Apache/Nginx access-log line</w:t>
            </w:r>
          </w:p>
        </w:tc>
        <w:tc>
          <w:tcPr>
            <w:tcW w:type="dxa" w:w="2484"/>
            <w:vAlign w:val="center"/>
          </w:tcPr>
          <w:p>
            <w:r>
              <w:t>Script-injection signature detection followed by source/request/HTTP-response correlation.</w:t>
            </w:r>
          </w:p>
        </w:tc>
      </w:tr>
      <w:tr>
        <w:tc>
          <w:tcPr>
            <w:tcW w:type="dxa" w:w="2484"/>
            <w:vAlign w:val="center"/>
          </w:tcPr>
          <w:p>
            <w:r>
              <w:t>Command injection</w:t>
            </w:r>
          </w:p>
        </w:tc>
        <w:tc>
          <w:tcPr>
            <w:tcW w:type="dxa" w:w="2484"/>
            <w:vAlign w:val="center"/>
          </w:tcPr>
          <w:p>
            <w:r>
              <w:t>31103, 31108, 80792</w:t>
            </w:r>
          </w:p>
        </w:tc>
        <w:tc>
          <w:tcPr>
            <w:tcW w:type="dxa" w:w="2484"/>
            <w:vAlign w:val="center"/>
          </w:tcPr>
          <w:p>
            <w:r>
              <w:t>Apache/Nginx access log + Linux auditd</w:t>
            </w:r>
          </w:p>
        </w:tc>
        <w:tc>
          <w:tcPr>
            <w:tcW w:type="dxa" w:w="2484"/>
            <w:vAlign w:val="center"/>
          </w:tcPr>
          <w:p>
            <w:r>
              <w:t>Web-layer detection correlated with endpoint execution; 80792 considered when its documented privileged-execution condition is present.</w:t>
            </w:r>
          </w:p>
        </w:tc>
      </w:tr>
      <w:tr>
        <w:tc>
          <w:tcPr>
            <w:tcW w:type="dxa" w:w="2484"/>
            <w:vAlign w:val="center"/>
          </w:tcPr>
          <w:p>
            <w:r>
              <w:t>SSH brute force</w:t>
            </w:r>
          </w:p>
        </w:tc>
        <w:tc>
          <w:tcPr>
            <w:tcW w:type="dxa" w:w="2484"/>
            <w:vAlign w:val="center"/>
          </w:tcPr>
          <w:p>
            <w:r>
              <w:t>5710, 5763</w:t>
            </w:r>
          </w:p>
        </w:tc>
        <w:tc>
          <w:tcPr>
            <w:tcW w:type="dxa" w:w="2484"/>
            <w:vAlign w:val="center"/>
          </w:tcPr>
          <w:p>
            <w:r>
              <w:t>Linux auth / SSHD authentication failures</w:t>
            </w:r>
          </w:p>
        </w:tc>
        <w:tc>
          <w:tcPr>
            <w:tcW w:type="dxa" w:w="2484"/>
            <w:vAlign w:val="center"/>
          </w:tcPr>
          <w:p>
            <w:r>
              <w:t>Repeated failure detection followed by source-IP and surrounding authentication-event correlation.</w:t>
            </w:r>
          </w:p>
        </w:tc>
      </w:tr>
    </w:tbl>
    <w:p>
      <w:pPr>
        <w:pStyle w:val="Heading2"/>
      </w:pPr>
      <w:r>
        <w:t>8.1 Supporting Linux Rules</w:t>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Rule</w:t>
            </w:r>
          </w:p>
        </w:tc>
        <w:tc>
          <w:tcPr>
            <w:tcW w:type="dxa" w:w="4968"/>
            <w:shd w:fill="D9E2F3"/>
            <w:vAlign w:val="center"/>
          </w:tcPr>
          <w:p>
            <w:r>
              <w:t>Documented purpose</w:t>
            </w:r>
          </w:p>
        </w:tc>
      </w:tr>
      <w:tr>
        <w:tc>
          <w:tcPr>
            <w:tcW w:type="dxa" w:w="4968"/>
            <w:vAlign w:val="center"/>
          </w:tcPr>
          <w:p>
            <w:r>
              <w:t>5716</w:t>
            </w:r>
          </w:p>
        </w:tc>
        <w:tc>
          <w:tcPr>
            <w:tcW w:type="dxa" w:w="4968"/>
            <w:vAlign w:val="center"/>
          </w:tcPr>
          <w:p>
            <w:r>
              <w:t>Successful SSH login.</w:t>
            </w:r>
          </w:p>
        </w:tc>
      </w:tr>
      <w:tr>
        <w:tc>
          <w:tcPr>
            <w:tcW w:type="dxa" w:w="4968"/>
            <w:vAlign w:val="center"/>
          </w:tcPr>
          <w:p>
            <w:r>
              <w:t>5720</w:t>
            </w:r>
          </w:p>
        </w:tc>
        <w:tc>
          <w:tcPr>
            <w:tcW w:type="dxa" w:w="4968"/>
            <w:vAlign w:val="center"/>
          </w:tcPr>
          <w:p>
            <w:r>
              <w:t>Login attempt using a non-existent username / invalid user.</w:t>
            </w:r>
          </w:p>
        </w:tc>
      </w:tr>
      <w:tr>
        <w:tc>
          <w:tcPr>
            <w:tcW w:type="dxa" w:w="4968"/>
            <w:vAlign w:val="center"/>
          </w:tcPr>
          <w:p>
            <w:r>
              <w:t>5402</w:t>
            </w:r>
          </w:p>
        </w:tc>
        <w:tc>
          <w:tcPr>
            <w:tcW w:type="dxa" w:w="4968"/>
            <w:vAlign w:val="center"/>
          </w:tcPr>
          <w:p>
            <w:r>
              <w:t>Sudo command successfully executed.</w:t>
            </w:r>
          </w:p>
        </w:tc>
      </w:tr>
      <w:tr>
        <w:tc>
          <w:tcPr>
            <w:tcW w:type="dxa" w:w="4968"/>
            <w:vAlign w:val="center"/>
          </w:tcPr>
          <w:p>
            <w:r>
              <w:t>5403</w:t>
            </w:r>
          </w:p>
        </w:tc>
        <w:tc>
          <w:tcPr>
            <w:tcW w:type="dxa" w:w="4968"/>
            <w:vAlign w:val="center"/>
          </w:tcPr>
          <w:p>
            <w:r>
              <w:t>Sudo authentication failure.</w:t>
            </w:r>
          </w:p>
        </w:tc>
      </w:tr>
      <w:tr>
        <w:tc>
          <w:tcPr>
            <w:tcW w:type="dxa" w:w="4968"/>
            <w:vAlign w:val="center"/>
          </w:tcPr>
          <w:p>
            <w:r>
              <w:t>5301</w:t>
            </w:r>
          </w:p>
        </w:tc>
        <w:tc>
          <w:tcPr>
            <w:tcW w:type="dxa" w:w="4968"/>
            <w:vAlign w:val="center"/>
          </w:tcPr>
          <w:p>
            <w:r>
              <w:t>Root shell spawned via su.</w:t>
            </w:r>
          </w:p>
        </w:tc>
      </w:tr>
      <w:tr>
        <w:tc>
          <w:tcPr>
            <w:tcW w:type="dxa" w:w="4968"/>
            <w:vAlign w:val="center"/>
          </w:tcPr>
          <w:p>
            <w:r>
              <w:t>80792</w:t>
            </w:r>
          </w:p>
        </w:tc>
        <w:tc>
          <w:tcPr>
            <w:tcW w:type="dxa" w:w="4968"/>
            <w:vAlign w:val="center"/>
          </w:tcPr>
          <w:p>
            <w:r>
              <w:t>Privileged command execution tracked through auditd/euid=0.</w:t>
            </w:r>
          </w:p>
        </w:tc>
      </w:tr>
    </w:tbl>
    <w:p>
      <w:pPr>
        <w:pStyle w:val="Heading2"/>
      </w:pPr>
      <w:r>
        <w:t>8.2 Incident Timeline</w:t>
      </w:r>
    </w:p>
    <w:p>
      <w:r>
        <w:rPr>
          <w:b w:val="0"/>
          <w:i w:val="0"/>
        </w:rPr>
        <w:t>The original event timestamps should be inserted from the corresponding evidence files where available. The sequence below represents the documented investigation flow rather than a fabricated historical clock.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Sequence</w:t>
            </w:r>
          </w:p>
        </w:tc>
        <w:tc>
          <w:tcPr>
            <w:tcW w:type="dxa" w:w="2484"/>
            <w:shd w:fill="D9E2F3"/>
            <w:vAlign w:val="center"/>
          </w:tcPr>
          <w:p>
            <w:r>
              <w:t>Event</w:t>
            </w:r>
          </w:p>
        </w:tc>
        <w:tc>
          <w:tcPr>
            <w:tcW w:type="dxa" w:w="2484"/>
            <w:shd w:fill="D9E2F3"/>
            <w:vAlign w:val="center"/>
          </w:tcPr>
          <w:p>
            <w:r>
              <w:t>Source</w:t>
            </w:r>
          </w:p>
        </w:tc>
        <w:tc>
          <w:tcPr>
            <w:tcW w:type="dxa" w:w="2484"/>
            <w:shd w:fill="D9E2F3"/>
            <w:vAlign w:val="center"/>
          </w:tcPr>
          <w:p>
            <w:r>
              <w:t>Evidence / Notes</w:t>
            </w:r>
          </w:p>
        </w:tc>
      </w:tr>
      <w:tr>
        <w:tc>
          <w:tcPr>
            <w:tcW w:type="dxa" w:w="2484"/>
            <w:vAlign w:val="center"/>
          </w:tcPr>
          <w:p>
            <w:r>
              <w:t>1</w:t>
            </w:r>
          </w:p>
        </w:tc>
        <w:tc>
          <w:tcPr>
            <w:tcW w:type="dxa" w:w="2484"/>
            <w:vAlign w:val="center"/>
          </w:tcPr>
          <w:p>
            <w:r>
              <w:t>Brute-force authentication activity</w:t>
            </w:r>
          </w:p>
        </w:tc>
        <w:tc>
          <w:tcPr>
            <w:tcW w:type="dxa" w:w="2484"/>
            <w:vAlign w:val="center"/>
          </w:tcPr>
          <w:p>
            <w:r>
              <w:t>Ubuntu auth / SSHD + Wazuh</w:t>
            </w:r>
          </w:p>
        </w:tc>
        <w:tc>
          <w:tcPr>
            <w:tcW w:type="dxa" w:w="2484"/>
            <w:vAlign w:val="center"/>
          </w:tcPr>
          <w:p>
            <w:r>
              <w:t>Rules 5710 / 5763; supporting 5720 / 5716 where applicable.</w:t>
            </w:r>
          </w:p>
        </w:tc>
      </w:tr>
      <w:tr>
        <w:tc>
          <w:tcPr>
            <w:tcW w:type="dxa" w:w="2484"/>
            <w:vAlign w:val="center"/>
          </w:tcPr>
          <w:p>
            <w:r>
              <w:t>2</w:t>
            </w:r>
          </w:p>
        </w:tc>
        <w:tc>
          <w:tcPr>
            <w:tcW w:type="dxa" w:w="2484"/>
            <w:vAlign w:val="center"/>
          </w:tcPr>
          <w:p>
            <w:r>
              <w:t>SQL injection activity</w:t>
            </w:r>
          </w:p>
        </w:tc>
        <w:tc>
          <w:tcPr>
            <w:tcW w:type="dxa" w:w="2484"/>
            <w:vAlign w:val="center"/>
          </w:tcPr>
          <w:p>
            <w:r>
              <w:t>Apache / DVWA + Wazuh</w:t>
            </w:r>
          </w:p>
        </w:tc>
        <w:tc>
          <w:tcPr>
            <w:tcW w:type="dxa" w:w="2484"/>
            <w:vAlign w:val="center"/>
          </w:tcPr>
          <w:p>
            <w:r>
              <w:t>Rules 31103 / 31106.</w:t>
            </w:r>
          </w:p>
        </w:tc>
      </w:tr>
      <w:tr>
        <w:tc>
          <w:tcPr>
            <w:tcW w:type="dxa" w:w="2484"/>
            <w:vAlign w:val="center"/>
          </w:tcPr>
          <w:p>
            <w:r>
              <w:t>3</w:t>
            </w:r>
          </w:p>
        </w:tc>
        <w:tc>
          <w:tcPr>
            <w:tcW w:type="dxa" w:w="2484"/>
            <w:vAlign w:val="center"/>
          </w:tcPr>
          <w:p>
            <w:r>
              <w:t>XSS activity</w:t>
            </w:r>
          </w:p>
        </w:tc>
        <w:tc>
          <w:tcPr>
            <w:tcW w:type="dxa" w:w="2484"/>
            <w:vAlign w:val="center"/>
          </w:tcPr>
          <w:p>
            <w:r>
              <w:t>Apache / DVWA + Wazuh</w:t>
            </w:r>
          </w:p>
        </w:tc>
        <w:tc>
          <w:tcPr>
            <w:tcW w:type="dxa" w:w="2484"/>
            <w:vAlign w:val="center"/>
          </w:tcPr>
          <w:p>
            <w:r>
              <w:t>Rules 31103 / 31106.</w:t>
            </w:r>
          </w:p>
        </w:tc>
      </w:tr>
      <w:tr>
        <w:tc>
          <w:tcPr>
            <w:tcW w:type="dxa" w:w="2484"/>
            <w:vAlign w:val="center"/>
          </w:tcPr>
          <w:p>
            <w:r>
              <w:t>4</w:t>
            </w:r>
          </w:p>
        </w:tc>
        <w:tc>
          <w:tcPr>
            <w:tcW w:type="dxa" w:w="2484"/>
            <w:vAlign w:val="center"/>
          </w:tcPr>
          <w:p>
            <w:r>
              <w:t>Command-injection activity</w:t>
            </w:r>
          </w:p>
        </w:tc>
        <w:tc>
          <w:tcPr>
            <w:tcW w:type="dxa" w:w="2484"/>
            <w:vAlign w:val="center"/>
          </w:tcPr>
          <w:p>
            <w:r>
              <w:t>Apache / DVWA + Wazuh</w:t>
            </w:r>
          </w:p>
        </w:tc>
        <w:tc>
          <w:tcPr>
            <w:tcW w:type="dxa" w:w="2484"/>
            <w:vAlign w:val="center"/>
          </w:tcPr>
          <w:p>
            <w:r>
              <w:t>Rules 31103 / 31108.</w:t>
            </w:r>
          </w:p>
        </w:tc>
      </w:tr>
      <w:tr>
        <w:tc>
          <w:tcPr>
            <w:tcW w:type="dxa" w:w="2484"/>
            <w:vAlign w:val="center"/>
          </w:tcPr>
          <w:p>
            <w:r>
              <w:t>5</w:t>
            </w:r>
          </w:p>
        </w:tc>
        <w:tc>
          <w:tcPr>
            <w:tcW w:type="dxa" w:w="2484"/>
            <w:vAlign w:val="center"/>
          </w:tcPr>
          <w:p>
            <w:r>
              <w:t>Endpoint execution correlation</w:t>
            </w:r>
          </w:p>
        </w:tc>
        <w:tc>
          <w:tcPr>
            <w:tcW w:type="dxa" w:w="2484"/>
            <w:vAlign w:val="center"/>
          </w:tcPr>
          <w:p>
            <w:r>
              <w:t>Linux auditd + Wazuh</w:t>
            </w:r>
          </w:p>
        </w:tc>
        <w:tc>
          <w:tcPr>
            <w:tcW w:type="dxa" w:w="2484"/>
            <w:vAlign w:val="center"/>
          </w:tcPr>
          <w:p>
            <w:r>
              <w:t>Rule 80792 only where documented event conditions are met.</w:t>
            </w:r>
          </w:p>
        </w:tc>
      </w:tr>
      <w:tr>
        <w:tc>
          <w:tcPr>
            <w:tcW w:type="dxa" w:w="2484"/>
            <w:vAlign w:val="center"/>
          </w:tcPr>
          <w:p>
            <w:r>
              <w:t>6</w:t>
            </w:r>
          </w:p>
        </w:tc>
        <w:tc>
          <w:tcPr>
            <w:tcW w:type="dxa" w:w="2484"/>
            <w:vAlign w:val="center"/>
          </w:tcPr>
          <w:p>
            <w:r>
              <w:t>Analyst assessment and remediation planning</w:t>
            </w:r>
          </w:p>
        </w:tc>
        <w:tc>
          <w:tcPr>
            <w:tcW w:type="dxa" w:w="2484"/>
            <w:vAlign w:val="center"/>
          </w:tcPr>
          <w:p>
            <w:r>
              <w:t>Wazuh / evidence set</w:t>
            </w:r>
          </w:p>
        </w:tc>
        <w:tc>
          <w:tcPr>
            <w:tcW w:type="dxa" w:w="2484"/>
            <w:vAlign w:val="center"/>
          </w:tcPr>
          <w:p>
            <w:r>
              <w:t>Findings converted into Week 4 recommendations.</w:t>
            </w:r>
          </w:p>
        </w:tc>
      </w:tr>
    </w:tbl>
    <w:p>
      <w:pPr>
        <w:pStyle w:val="Heading2"/>
      </w:pPr>
      <w:r>
        <w:t>8.3 Investigation Conclusion</w:t>
      </w:r>
    </w:p>
    <w:p>
      <w:r>
        <w:rPr>
          <w:b w:val="0"/>
          <w:i w:val="0"/>
        </w:rPr>
        <w:t>The monitoring architecture provided visibility across both application and endpoint layers. Web attack activity could be associated with the controlled Kali source and the Ubuntu target, while Linux authentication and auditd telemetry provided additional context for credential and command-execution investigations. Command injection is particularly important because correlation between the web request and endpoint execution can establish whether an application-layer attack progressed into server-level activity.</w:t>
      </w:r>
    </w:p>
    <w:p>
      <w:pPr>
        <w:pStyle w:val="Heading1"/>
      </w:pPr>
      <w:r>
        <w:t>9. Recommendations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Area</w:t>
            </w:r>
          </w:p>
        </w:tc>
        <w:tc>
          <w:tcPr>
            <w:tcW w:type="dxa" w:w="2484"/>
            <w:shd w:fill="D9E2F3"/>
            <w:vAlign w:val="center"/>
          </w:tcPr>
          <w:p>
            <w:r>
              <w:t>Current State / Finding</w:t>
            </w:r>
          </w:p>
        </w:tc>
        <w:tc>
          <w:tcPr>
            <w:tcW w:type="dxa" w:w="2484"/>
            <w:shd w:fill="D9E2F3"/>
            <w:vAlign w:val="center"/>
          </w:tcPr>
          <w:p>
            <w:r>
              <w:t>Recommendation</w:t>
            </w:r>
          </w:p>
        </w:tc>
        <w:tc>
          <w:tcPr>
            <w:tcW w:type="dxa" w:w="2484"/>
            <w:shd w:fill="D9E2F3"/>
            <w:vAlign w:val="center"/>
          </w:tcPr>
          <w:p>
            <w:r>
              <w:t>Priority</w:t>
            </w:r>
          </w:p>
        </w:tc>
      </w:tr>
      <w:tr>
        <w:tc>
          <w:tcPr>
            <w:tcW w:type="dxa" w:w="2484"/>
            <w:vAlign w:val="center"/>
          </w:tcPr>
          <w:p>
            <w:r>
              <w:t>Web input handling</w:t>
            </w:r>
          </w:p>
        </w:tc>
        <w:tc>
          <w:tcPr>
            <w:tcW w:type="dxa" w:w="2484"/>
            <w:vAlign w:val="center"/>
          </w:tcPr>
          <w:p>
            <w:r>
              <w:t>SQLi and XSS were demonstrated in DVWA; Wazuh web telemetry mapped the activity to 31103/31106.</w:t>
            </w:r>
          </w:p>
        </w:tc>
        <w:tc>
          <w:tcPr>
            <w:tcW w:type="dxa" w:w="2484"/>
            <w:vAlign w:val="center"/>
          </w:tcPr>
          <w:p>
            <w:r>
              <w:t>Use parameterized queries, strict server-side validation, context-aware output encoding and a suitable CSP.</w:t>
            </w:r>
          </w:p>
        </w:tc>
        <w:tc>
          <w:tcPr>
            <w:tcW w:type="dxa" w:w="2484"/>
            <w:vAlign w:val="center"/>
          </w:tcPr>
          <w:p>
            <w:r>
              <w:t>Critical / High</w:t>
            </w:r>
          </w:p>
        </w:tc>
      </w:tr>
      <w:tr>
        <w:tc>
          <w:tcPr>
            <w:tcW w:type="dxa" w:w="2484"/>
            <w:vAlign w:val="center"/>
          </w:tcPr>
          <w:p>
            <w:r>
              <w:t>OS command execution</w:t>
            </w:r>
          </w:p>
        </w:tc>
        <w:tc>
          <w:tcPr>
            <w:tcW w:type="dxa" w:w="2484"/>
            <w:vAlign w:val="center"/>
          </w:tcPr>
          <w:p>
            <w:r>
              <w:t>Command injection presents potential server compromise; investigation uses 31103/31108 and auditd/80792 correlation.</w:t>
            </w:r>
          </w:p>
        </w:tc>
        <w:tc>
          <w:tcPr>
            <w:tcW w:type="dxa" w:w="2484"/>
            <w:vAlign w:val="center"/>
          </w:tcPr>
          <w:p>
            <w:r>
              <w:t>Avoid shell execution from web input. Where unavoidable, use safe APIs, strict allowlists, validation and least-privilege service accounts.</w:t>
            </w:r>
          </w:p>
        </w:tc>
        <w:tc>
          <w:tcPr>
            <w:tcW w:type="dxa" w:w="2484"/>
            <w:vAlign w:val="center"/>
          </w:tcPr>
          <w:p>
            <w:r>
              <w:t>Critical</w:t>
            </w:r>
          </w:p>
        </w:tc>
      </w:tr>
      <w:tr>
        <w:tc>
          <w:tcPr>
            <w:tcW w:type="dxa" w:w="2484"/>
            <w:vAlign w:val="center"/>
          </w:tcPr>
          <w:p>
            <w:r>
              <w:t>Authentication</w:t>
            </w:r>
          </w:p>
        </w:tc>
        <w:tc>
          <w:tcPr>
            <w:tcW w:type="dxa" w:w="2484"/>
            <w:vAlign w:val="center"/>
          </w:tcPr>
          <w:p>
            <w:r>
              <w:t>SSH brute-force activity was detectable through 5710/5763.</w:t>
            </w:r>
          </w:p>
        </w:tc>
        <w:tc>
          <w:tcPr>
            <w:tcW w:type="dxa" w:w="2484"/>
            <w:vAlign w:val="center"/>
          </w:tcPr>
          <w:p>
            <w:r>
              <w:t>Use strong unique passwords, rate limiting, lockout/anti-automation controls and MFA for sensitive access.</w:t>
            </w:r>
          </w:p>
        </w:tc>
        <w:tc>
          <w:tcPr>
            <w:tcW w:type="dxa" w:w="2484"/>
            <w:vAlign w:val="center"/>
          </w:tcPr>
          <w:p>
            <w:r>
              <w:t>High</w:t>
            </w:r>
          </w:p>
        </w:tc>
      </w:tr>
      <w:tr>
        <w:tc>
          <w:tcPr>
            <w:tcW w:type="dxa" w:w="2484"/>
            <w:vAlign w:val="center"/>
          </w:tcPr>
          <w:p>
            <w:r>
              <w:t>Privileged access</w:t>
            </w:r>
          </w:p>
        </w:tc>
        <w:tc>
          <w:tcPr>
            <w:tcW w:type="dxa" w:w="2484"/>
            <w:vAlign w:val="center"/>
          </w:tcPr>
          <w:p>
            <w:r>
              <w:t>Linux telemetry includes sudo, su and auditd visibility.</w:t>
            </w:r>
          </w:p>
        </w:tc>
        <w:tc>
          <w:tcPr>
            <w:tcW w:type="dxa" w:w="2484"/>
            <w:vAlign w:val="center"/>
          </w:tcPr>
          <w:p>
            <w:r>
              <w:t>Minimize administrative privileges, review sudoers/su access and retain privileged-command auditing.</w:t>
            </w:r>
          </w:p>
        </w:tc>
        <w:tc>
          <w:tcPr>
            <w:tcW w:type="dxa" w:w="2484"/>
            <w:vAlign w:val="center"/>
          </w:tcPr>
          <w:p>
            <w:r>
              <w:t>High</w:t>
            </w:r>
          </w:p>
        </w:tc>
      </w:tr>
      <w:tr>
        <w:tc>
          <w:tcPr>
            <w:tcW w:type="dxa" w:w="2484"/>
            <w:vAlign w:val="center"/>
          </w:tcPr>
          <w:p>
            <w:r>
              <w:t>Logging &amp; monitoring</w:t>
            </w:r>
          </w:p>
        </w:tc>
        <w:tc>
          <w:tcPr>
            <w:tcW w:type="dxa" w:w="2484"/>
            <w:vAlign w:val="center"/>
          </w:tcPr>
          <w:p>
            <w:r>
              <w:t>Wazuh provides centralized monitoring for the controlled environment.</w:t>
            </w:r>
          </w:p>
        </w:tc>
        <w:tc>
          <w:tcPr>
            <w:tcW w:type="dxa" w:w="2484"/>
            <w:vAlign w:val="center"/>
          </w:tcPr>
          <w:p>
            <w:r>
              <w:t>Maintain Wazuh coverage, retain sufficient logs, tune detection rules and periodically test known attack paths.</w:t>
            </w:r>
          </w:p>
        </w:tc>
        <w:tc>
          <w:tcPr>
            <w:tcW w:type="dxa" w:w="2484"/>
            <w:vAlign w:val="center"/>
          </w:tcPr>
          <w:p>
            <w:r>
              <w:t>High</w:t>
            </w:r>
          </w:p>
        </w:tc>
      </w:tr>
      <w:tr>
        <w:tc>
          <w:tcPr>
            <w:tcW w:type="dxa" w:w="2484"/>
            <w:vAlign w:val="center"/>
          </w:tcPr>
          <w:p>
            <w:r>
              <w:t>Patch management</w:t>
            </w:r>
          </w:p>
        </w:tc>
        <w:tc>
          <w:tcPr>
            <w:tcW w:type="dxa" w:w="2484"/>
            <w:vAlign w:val="center"/>
          </w:tcPr>
          <w:p>
            <w:r>
              <w:t>The Ubuntu web server is a critical service platform.</w:t>
            </w:r>
          </w:p>
        </w:tc>
        <w:tc>
          <w:tcPr>
            <w:tcW w:type="dxa" w:w="2484"/>
            <w:vAlign w:val="center"/>
          </w:tcPr>
          <w:p>
            <w:r>
              <w:t>Keep the OS, web server, PHP, database and application components security-patched and supported.</w:t>
            </w:r>
          </w:p>
        </w:tc>
        <w:tc>
          <w:tcPr>
            <w:tcW w:type="dxa" w:w="2484"/>
            <w:vAlign w:val="center"/>
          </w:tcPr>
          <w:p>
            <w:r>
              <w:t>High</w:t>
            </w:r>
          </w:p>
        </w:tc>
      </w:tr>
      <w:tr>
        <w:tc>
          <w:tcPr>
            <w:tcW w:type="dxa" w:w="2484"/>
            <w:vAlign w:val="center"/>
          </w:tcPr>
          <w:p>
            <w:r>
              <w:t>Network exposure</w:t>
            </w:r>
          </w:p>
        </w:tc>
        <w:tc>
          <w:tcPr>
            <w:tcW w:type="dxa" w:w="2484"/>
            <w:vAlign w:val="center"/>
          </w:tcPr>
          <w:p>
            <w:r>
              <w:t>Internet-facing services increase attack surface.</w:t>
            </w:r>
          </w:p>
        </w:tc>
        <w:tc>
          <w:tcPr>
            <w:tcW w:type="dxa" w:w="2484"/>
            <w:vAlign w:val="center"/>
          </w:tcPr>
          <w:p>
            <w:r>
              <w:t>Expose only required services, restrict management access and segment public-facing workloads from internal systems.</w:t>
            </w:r>
          </w:p>
        </w:tc>
        <w:tc>
          <w:tcPr>
            <w:tcW w:type="dxa" w:w="2484"/>
            <w:vAlign w:val="center"/>
          </w:tcPr>
          <w:p>
            <w:r>
              <w:t>High</w:t>
            </w:r>
          </w:p>
        </w:tc>
      </w:tr>
      <w:tr>
        <w:tc>
          <w:tcPr>
            <w:tcW w:type="dxa" w:w="2484"/>
            <w:vAlign w:val="center"/>
          </w:tcPr>
          <w:p>
            <w:r>
              <w:t>Backup &amp; recovery</w:t>
            </w:r>
          </w:p>
        </w:tc>
        <w:tc>
          <w:tcPr>
            <w:tcW w:type="dxa" w:w="2484"/>
            <w:vAlign w:val="center"/>
          </w:tcPr>
          <w:p>
            <w:r>
              <w:t>Service compromise can affect availability and data.</w:t>
            </w:r>
          </w:p>
        </w:tc>
        <w:tc>
          <w:tcPr>
            <w:tcW w:type="dxa" w:w="2484"/>
            <w:vAlign w:val="center"/>
          </w:tcPr>
          <w:p>
            <w:r>
              <w:t>Maintain protected backups and periodically test restoration and recovery procedures.</w:t>
            </w:r>
          </w:p>
        </w:tc>
        <w:tc>
          <w:tcPr>
            <w:tcW w:type="dxa" w:w="2484"/>
            <w:vAlign w:val="center"/>
          </w:tcPr>
          <w:p>
            <w:r>
              <w:t>Medium–High</w:t>
            </w:r>
          </w:p>
        </w:tc>
      </w:tr>
      <w:tr>
        <w:tc>
          <w:tcPr>
            <w:tcW w:type="dxa" w:w="2484"/>
            <w:vAlign w:val="center"/>
          </w:tcPr>
          <w:p>
            <w:r>
              <w:t>Identity &amp; user security</w:t>
            </w:r>
          </w:p>
        </w:tc>
        <w:tc>
          <w:tcPr>
            <w:tcW w:type="dxa" w:w="2484"/>
            <w:vAlign w:val="center"/>
          </w:tcPr>
          <w:p>
            <w:r>
              <w:t>Employee credentials are a key business asset.</w:t>
            </w:r>
          </w:p>
        </w:tc>
        <w:tc>
          <w:tcPr>
            <w:tcW w:type="dxa" w:w="2484"/>
            <w:vAlign w:val="center"/>
          </w:tcPr>
          <w:p>
            <w:r>
              <w:t>Use MFA, regular access reviews, security awareness and phishing-resistant authentication where practical.</w:t>
            </w:r>
          </w:p>
        </w:tc>
        <w:tc>
          <w:tcPr>
            <w:tcW w:type="dxa" w:w="2484"/>
            <w:vAlign w:val="center"/>
          </w:tcPr>
          <w:p>
            <w:r>
              <w:t>High</w:t>
            </w:r>
          </w:p>
        </w:tc>
      </w:tr>
    </w:tbl>
    <w:p>
      <w:pPr>
        <w:pStyle w:val="Heading1"/>
      </w:pPr>
      <w:r>
        <w:t>10. Appendices</w:t>
      </w:r>
    </w:p>
    <w:p>
      <w:pPr>
        <w:pStyle w:val="Heading2"/>
      </w:pPr>
      <w:r>
        <w:t>Appendix A — Week 1 Evidence Register</w:t>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File</w:t>
            </w:r>
          </w:p>
        </w:tc>
        <w:tc>
          <w:tcPr>
            <w:tcW w:type="dxa" w:w="4968"/>
            <w:shd w:fill="D9E2F3"/>
            <w:vAlign w:val="center"/>
          </w:tcPr>
          <w:p>
            <w:r>
              <w:t>Evidence</w:t>
            </w:r>
          </w:p>
        </w:tc>
      </w:tr>
      <w:tr>
        <w:tc>
          <w:tcPr>
            <w:tcW w:type="dxa" w:w="4968"/>
            <w:vAlign w:val="center"/>
          </w:tcPr>
          <w:p>
            <w:r>
              <w:t>01-hostnamectl.png</w:t>
            </w:r>
          </w:p>
        </w:tc>
        <w:tc>
          <w:tcPr>
            <w:tcW w:type="dxa" w:w="4968"/>
            <w:vAlign w:val="center"/>
          </w:tcPr>
          <w:p>
            <w:r>
              <w:t>Ubuntu hostname and operating-system identification</w:t>
            </w:r>
          </w:p>
        </w:tc>
      </w:tr>
      <w:tr>
        <w:tc>
          <w:tcPr>
            <w:tcW w:type="dxa" w:w="4968"/>
            <w:vAlign w:val="center"/>
          </w:tcPr>
          <w:p>
            <w:r>
              <w:t>02-ipaddr.png</w:t>
            </w:r>
          </w:p>
        </w:tc>
        <w:tc>
          <w:tcPr>
            <w:tcW w:type="dxa" w:w="4968"/>
            <w:vAlign w:val="center"/>
          </w:tcPr>
          <w:p>
            <w:r>
              <w:t>Ubuntu network addressing</w:t>
            </w:r>
          </w:p>
        </w:tc>
      </w:tr>
      <w:tr>
        <w:tc>
          <w:tcPr>
            <w:tcW w:type="dxa" w:w="4968"/>
            <w:vAlign w:val="center"/>
          </w:tcPr>
          <w:p>
            <w:r>
              <w:t>03-storage.png</w:t>
            </w:r>
          </w:p>
        </w:tc>
        <w:tc>
          <w:tcPr>
            <w:tcW w:type="dxa" w:w="4968"/>
            <w:vAlign w:val="center"/>
          </w:tcPr>
          <w:p>
            <w:r>
              <w:t>Disk/storage information</w:t>
            </w:r>
          </w:p>
        </w:tc>
      </w:tr>
      <w:tr>
        <w:tc>
          <w:tcPr>
            <w:tcW w:type="dxa" w:w="4968"/>
            <w:vAlign w:val="center"/>
          </w:tcPr>
          <w:p>
            <w:r>
              <w:t>04-memory.png</w:t>
            </w:r>
          </w:p>
        </w:tc>
        <w:tc>
          <w:tcPr>
            <w:tcW w:type="dxa" w:w="4968"/>
            <w:vAlign w:val="center"/>
          </w:tcPr>
          <w:p>
            <w:r>
              <w:t>Memory information</w:t>
            </w:r>
          </w:p>
        </w:tc>
      </w:tr>
      <w:tr>
        <w:tc>
          <w:tcPr>
            <w:tcW w:type="dxa" w:w="4968"/>
            <w:vAlign w:val="center"/>
          </w:tcPr>
          <w:p>
            <w:r>
              <w:t>05-apache-running.png</w:t>
            </w:r>
          </w:p>
        </w:tc>
        <w:tc>
          <w:tcPr>
            <w:tcW w:type="dxa" w:w="4968"/>
            <w:vAlign w:val="center"/>
          </w:tcPr>
          <w:p>
            <w:r>
              <w:t>Apache service status</w:t>
            </w:r>
          </w:p>
        </w:tc>
      </w:tr>
      <w:tr>
        <w:tc>
          <w:tcPr>
            <w:tcW w:type="dxa" w:w="4968"/>
            <w:vAlign w:val="center"/>
          </w:tcPr>
          <w:p>
            <w:r>
              <w:t>06-mariadb-running.png</w:t>
            </w:r>
          </w:p>
        </w:tc>
        <w:tc>
          <w:tcPr>
            <w:tcW w:type="dxa" w:w="4968"/>
            <w:vAlign w:val="center"/>
          </w:tcPr>
          <w:p>
            <w:r>
              <w:t>MariaDB service status</w:t>
            </w:r>
          </w:p>
        </w:tc>
      </w:tr>
      <w:tr>
        <w:tc>
          <w:tcPr>
            <w:tcW w:type="dxa" w:w="4968"/>
            <w:vAlign w:val="center"/>
          </w:tcPr>
          <w:p>
            <w:r>
              <w:t>07-ssh-running.png</w:t>
            </w:r>
          </w:p>
        </w:tc>
        <w:tc>
          <w:tcPr>
            <w:tcW w:type="dxa" w:w="4968"/>
            <w:vAlign w:val="center"/>
          </w:tcPr>
          <w:p>
            <w:r>
              <w:t>SSH service status</w:t>
            </w:r>
          </w:p>
        </w:tc>
      </w:tr>
      <w:tr>
        <w:tc>
          <w:tcPr>
            <w:tcW w:type="dxa" w:w="4968"/>
            <w:vAlign w:val="center"/>
          </w:tcPr>
          <w:p>
            <w:r>
              <w:t>08-auditd-running.png</w:t>
            </w:r>
          </w:p>
        </w:tc>
        <w:tc>
          <w:tcPr>
            <w:tcW w:type="dxa" w:w="4968"/>
            <w:vAlign w:val="center"/>
          </w:tcPr>
          <w:p>
            <w:r>
              <w:t>auditd service status</w:t>
            </w:r>
          </w:p>
        </w:tc>
      </w:tr>
      <w:tr>
        <w:tc>
          <w:tcPr>
            <w:tcW w:type="dxa" w:w="4968"/>
            <w:vAlign w:val="center"/>
          </w:tcPr>
          <w:p>
            <w:r>
              <w:t>09-agent-active.png</w:t>
            </w:r>
          </w:p>
        </w:tc>
        <w:tc>
          <w:tcPr>
            <w:tcW w:type="dxa" w:w="4968"/>
            <w:vAlign w:val="center"/>
          </w:tcPr>
          <w:p>
            <w:r>
              <w:t>Wazuh agent service status</w:t>
            </w:r>
          </w:p>
        </w:tc>
      </w:tr>
      <w:tr>
        <w:tc>
          <w:tcPr>
            <w:tcW w:type="dxa" w:w="4968"/>
            <w:vAlign w:val="center"/>
          </w:tcPr>
          <w:p>
            <w:r>
              <w:t>10-kali-ping.png</w:t>
            </w:r>
          </w:p>
        </w:tc>
        <w:tc>
          <w:tcPr>
            <w:tcW w:type="dxa" w:w="4968"/>
            <w:vAlign w:val="center"/>
          </w:tcPr>
          <w:p>
            <w:r>
              <w:t>Kali-to-Ubuntu connectivity</w:t>
            </w:r>
          </w:p>
        </w:tc>
      </w:tr>
      <w:tr>
        <w:tc>
          <w:tcPr>
            <w:tcW w:type="dxa" w:w="4968"/>
            <w:vAlign w:val="center"/>
          </w:tcPr>
          <w:p>
            <w:r>
              <w:t>11-ubuntu-ping.png</w:t>
            </w:r>
          </w:p>
        </w:tc>
        <w:tc>
          <w:tcPr>
            <w:tcW w:type="dxa" w:w="4968"/>
            <w:vAlign w:val="center"/>
          </w:tcPr>
          <w:p>
            <w:r>
              <w:t>Ubuntu-to-Kali connectivity</w:t>
            </w:r>
          </w:p>
        </w:tc>
      </w:tr>
      <w:tr>
        <w:tc>
          <w:tcPr>
            <w:tcW w:type="dxa" w:w="4968"/>
            <w:vAlign w:val="center"/>
          </w:tcPr>
          <w:p>
            <w:r>
              <w:t>12-dvwa-login.png</w:t>
            </w:r>
          </w:p>
        </w:tc>
        <w:tc>
          <w:tcPr>
            <w:tcW w:type="dxa" w:w="4968"/>
            <w:vAlign w:val="center"/>
          </w:tcPr>
          <w:p>
            <w:r>
              <w:t>DVWA login page</w:t>
            </w:r>
          </w:p>
        </w:tc>
      </w:tr>
      <w:tr>
        <w:tc>
          <w:tcPr>
            <w:tcW w:type="dxa" w:w="4968"/>
            <w:vAlign w:val="center"/>
          </w:tcPr>
          <w:p>
            <w:r>
              <w:t>13-dvwa-home.png</w:t>
            </w:r>
          </w:p>
        </w:tc>
        <w:tc>
          <w:tcPr>
            <w:tcW w:type="dxa" w:w="4968"/>
            <w:vAlign w:val="center"/>
          </w:tcPr>
          <w:p>
            <w:r>
              <w:t>DVWA home page after login</w:t>
            </w:r>
          </w:p>
        </w:tc>
      </w:tr>
      <w:tr>
        <w:tc>
          <w:tcPr>
            <w:tcW w:type="dxa" w:w="4968"/>
            <w:vAlign w:val="center"/>
          </w:tcPr>
          <w:p>
            <w:r>
              <w:t>14-wazuh-dashboard.png</w:t>
            </w:r>
          </w:p>
        </w:tc>
        <w:tc>
          <w:tcPr>
            <w:tcW w:type="dxa" w:w="4968"/>
            <w:vAlign w:val="center"/>
          </w:tcPr>
          <w:p>
            <w:r>
              <w:t>Wazuh dashboard</w:t>
            </w:r>
          </w:p>
        </w:tc>
      </w:tr>
      <w:tr>
        <w:tc>
          <w:tcPr>
            <w:tcW w:type="dxa" w:w="4968"/>
            <w:vAlign w:val="center"/>
          </w:tcPr>
          <w:p>
            <w:r>
              <w:t>15-wazuh-agent-running.png</w:t>
            </w:r>
          </w:p>
        </w:tc>
        <w:tc>
          <w:tcPr>
            <w:tcW w:type="dxa" w:w="4968"/>
            <w:vAlign w:val="center"/>
          </w:tcPr>
          <w:p>
            <w:r>
              <w:t>Wazuh agent running on Ubuntu</w:t>
            </w:r>
          </w:p>
        </w:tc>
      </w:tr>
      <w:tr>
        <w:tc>
          <w:tcPr>
            <w:tcW w:type="dxa" w:w="4968"/>
            <w:vAlign w:val="center"/>
          </w:tcPr>
          <w:p>
            <w:r>
              <w:t>16-wazuh-agents-connected.png</w:t>
            </w:r>
          </w:p>
        </w:tc>
        <w:tc>
          <w:tcPr>
            <w:tcW w:type="dxa" w:w="4968"/>
            <w:vAlign w:val="center"/>
          </w:tcPr>
          <w:p>
            <w:r>
              <w:t>Wazuh agents enrolled/connected</w:t>
            </w:r>
          </w:p>
        </w:tc>
      </w:tr>
      <w:tr>
        <w:tc>
          <w:tcPr>
            <w:tcW w:type="dxa" w:w="4968"/>
            <w:vAlign w:val="center"/>
          </w:tcPr>
          <w:p>
            <w:r>
              <w:t>17-dvwa-security-low.png</w:t>
            </w:r>
          </w:p>
        </w:tc>
        <w:tc>
          <w:tcPr>
            <w:tcW w:type="dxa" w:w="4968"/>
            <w:vAlign w:val="center"/>
          </w:tcPr>
          <w:p>
            <w:r>
              <w:t>DVWA configured at Low security</w:t>
            </w:r>
          </w:p>
        </w:tc>
      </w:tr>
      <w:tr>
        <w:tc>
          <w:tcPr>
            <w:tcW w:type="dxa" w:w="4968"/>
            <w:vAlign w:val="center"/>
          </w:tcPr>
          <w:p>
            <w:r>
              <w:t>18-dvwa-db-created.png</w:t>
            </w:r>
          </w:p>
        </w:tc>
        <w:tc>
          <w:tcPr>
            <w:tcW w:type="dxa" w:w="4968"/>
            <w:vAlign w:val="center"/>
          </w:tcPr>
          <w:p>
            <w:r>
              <w:t>DVWA database creation/setup evidence</w:t>
            </w:r>
          </w:p>
        </w:tc>
      </w:tr>
    </w:tbl>
    <w:p>
      <w:pPr>
        <w:pStyle w:val="Heading2"/>
      </w:pPr>
      <w:r>
        <w:t>Appendix B — Lab Architecture</w:t>
      </w:r>
    </w:p>
    <w:p>
      <w:r>
        <w:rPr>
          <w:b w:val="0"/>
          <w:i w:val="0"/>
        </w:rPr>
        <w:t>Arch Linux host: centralized Wazuh manager/dashboard and host monitoring. Kali Linux VM: authorized attacker environment. Ubuntu VM: DVWA target, Apache/MariaDB/PHP/SSH/auditd and Wazuh agent. Metasploitable2 remains a separate lab VM and is not part of the primary SecureCorp target path.</w:t>
      </w:r>
    </w:p>
    <w:p>
      <w:pPr>
        <w:pStyle w:val="Heading2"/>
      </w:pPr>
      <w:r>
        <w:t>Appendix C — Evidence Status &amp; Assembly Notes</w:t>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Required evidence</w:t>
            </w:r>
          </w:p>
        </w:tc>
        <w:tc>
          <w:tcPr>
            <w:tcW w:type="dxa" w:w="4968"/>
            <w:shd w:fill="D9E2F3"/>
            <w:vAlign w:val="center"/>
          </w:tcPr>
          <w:p>
            <w:r>
              <w:t>Status</w:t>
            </w:r>
          </w:p>
        </w:tc>
      </w:tr>
      <w:tr>
        <w:tc>
          <w:tcPr>
            <w:tcW w:type="dxa" w:w="4968"/>
            <w:vAlign w:val="center"/>
          </w:tcPr>
          <w:p>
            <w:r>
              <w:t>Network diagram / application map</w:t>
            </w:r>
          </w:p>
        </w:tc>
        <w:tc>
          <w:tcPr>
            <w:tcW w:type="dxa" w:w="4968"/>
            <w:vAlign w:val="center"/>
          </w:tcPr>
          <w:p>
            <w:r>
              <w:t>Prepared; final image to be inserted from Week 1 workspace.</w:t>
            </w:r>
          </w:p>
        </w:tc>
      </w:tr>
      <w:tr>
        <w:tc>
          <w:tcPr>
            <w:tcW w:type="dxa" w:w="4968"/>
            <w:vAlign w:val="center"/>
          </w:tcPr>
          <w:p>
            <w:r>
              <w:t>Asset inventory / CIA analysis</w:t>
            </w:r>
          </w:p>
        </w:tc>
        <w:tc>
          <w:tcPr>
            <w:tcW w:type="dxa" w:w="4968"/>
            <w:vAlign w:val="center"/>
          </w:tcPr>
          <w:p>
            <w:r>
              <w:t>Included in Section 4.</w:t>
            </w:r>
          </w:p>
        </w:tc>
      </w:tr>
      <w:tr>
        <w:tc>
          <w:tcPr>
            <w:tcW w:type="dxa" w:w="4968"/>
            <w:vAlign w:val="center"/>
          </w:tcPr>
          <w:p>
            <w:r>
              <w:t>Risk assessment</w:t>
            </w:r>
          </w:p>
        </w:tc>
        <w:tc>
          <w:tcPr>
            <w:tcW w:type="dxa" w:w="4968"/>
            <w:vAlign w:val="center"/>
          </w:tcPr>
          <w:p>
            <w:r>
              <w:t>Included in Section 5.</w:t>
            </w:r>
          </w:p>
        </w:tc>
      </w:tr>
      <w:tr>
        <w:tc>
          <w:tcPr>
            <w:tcW w:type="dxa" w:w="4968"/>
            <w:vAlign w:val="center"/>
          </w:tcPr>
          <w:p>
            <w:r>
              <w:t>Wazuh agent Active screenshot</w:t>
            </w:r>
          </w:p>
        </w:tc>
        <w:tc>
          <w:tcPr>
            <w:tcW w:type="dxa" w:w="4968"/>
            <w:vAlign w:val="center"/>
          </w:tcPr>
          <w:p>
            <w:r>
              <w:t>Week 1 evidence available.</w:t>
            </w:r>
          </w:p>
        </w:tc>
      </w:tr>
      <w:tr>
        <w:tc>
          <w:tcPr>
            <w:tcW w:type="dxa" w:w="4968"/>
            <w:vAlign w:val="center"/>
          </w:tcPr>
          <w:p>
            <w:r>
              <w:t>Four Week 2 attack records with timestamps</w:t>
            </w:r>
          </w:p>
        </w:tc>
        <w:tc>
          <w:tcPr>
            <w:tcW w:type="dxa" w:w="4968"/>
            <w:vAlign w:val="center"/>
          </w:tcPr>
          <w:p>
            <w:r>
              <w:t>Content prepared; exact timestamps must be inserted from verified evidence where unavailable.</w:t>
            </w:r>
          </w:p>
        </w:tc>
      </w:tr>
      <w:tr>
        <w:tc>
          <w:tcPr>
            <w:tcW w:type="dxa" w:w="4968"/>
            <w:vAlign w:val="center"/>
          </w:tcPr>
          <w:p>
            <w:r>
              <w:t>Four Week 3 Wazuh detection screenshots</w:t>
            </w:r>
          </w:p>
        </w:tc>
        <w:tc>
          <w:tcPr>
            <w:tcW w:type="dxa" w:w="4968"/>
            <w:vAlign w:val="center"/>
          </w:tcPr>
          <w:p>
            <w:r>
              <w:t>Detection mappings prepared; screenshots to be inserted if recovered.</w:t>
            </w:r>
          </w:p>
        </w:tc>
      </w:tr>
      <w:tr>
        <w:tc>
          <w:tcPr>
            <w:tcW w:type="dxa" w:w="4968"/>
            <w:vAlign w:val="center"/>
          </w:tcPr>
          <w:p>
            <w:r>
              <w:t>Incident report with timeline and evidence</w:t>
            </w:r>
          </w:p>
        </w:tc>
        <w:tc>
          <w:tcPr>
            <w:tcW w:type="dxa" w:w="4968"/>
            <w:vAlign w:val="center"/>
          </w:tcPr>
          <w:p>
            <w:r>
              <w:t>Included in Section 8; exact historical timestamps require verified evidence.</w:t>
            </w:r>
          </w:p>
        </w:tc>
      </w:tr>
      <w:tr>
        <w:tc>
          <w:tcPr>
            <w:tcW w:type="dxa" w:w="4968"/>
            <w:vAlign w:val="center"/>
          </w:tcPr>
          <w:p>
            <w:r>
              <w:t>Security recommendations</w:t>
            </w:r>
          </w:p>
        </w:tc>
        <w:tc>
          <w:tcPr>
            <w:tcW w:type="dxa" w:w="4968"/>
            <w:vAlign w:val="center"/>
          </w:tcPr>
          <w:p>
            <w:r>
              <w:t>Included in Section 9.</w:t>
            </w:r>
          </w:p>
        </w:tc>
      </w:tr>
      <w:tr>
        <w:tc>
          <w:tcPr>
            <w:tcW w:type="dxa" w:w="4968"/>
            <w:vAlign w:val="center"/>
          </w:tcPr>
          <w:p>
            <w:r>
              <w:t>Executive summary</w:t>
            </w:r>
          </w:p>
        </w:tc>
        <w:tc>
          <w:tcPr>
            <w:tcW w:type="dxa" w:w="4968"/>
            <w:vAlign w:val="center"/>
          </w:tcPr>
          <w:p>
            <w:r>
              <w:t>Included in Section 2.</w:t>
            </w:r>
          </w:p>
        </w:tc>
      </w:tr>
      <w:tr>
        <w:tc>
          <w:tcPr>
            <w:tcW w:type="dxa" w:w="4968"/>
            <w:vAlign w:val="center"/>
          </w:tcPr>
          <w:p>
            <w:r>
              <w:t>Final presentation</w:t>
            </w:r>
          </w:p>
        </w:tc>
        <w:tc>
          <w:tcPr>
            <w:tcW w:type="dxa" w:w="4968"/>
            <w:vAlign w:val="center"/>
          </w:tcPr>
          <w:p>
            <w:r>
              <w:t>Prepared separately in Week 4 bundle.</w:t>
            </w:r>
          </w:p>
        </w:tc>
      </w:tr>
    </w:tbl>
    <w:p>
      <w:pPr>
        <w:pStyle w:val="Heading2"/>
      </w:pPr>
      <w:r>
        <w:t>Appendix D — Evidence Provenance Note</w:t>
      </w:r>
    </w:p>
    <w:p>
      <w:r>
        <w:rPr>
          <w:b w:val="0"/>
          <w:i w:val="0"/>
        </w:rPr>
        <w:t>The assessment materials include AI-generated reconstructed terminal/log material under the examiner-approved arrangement described for this project. Such material is used only where original historical output is unavailable and is not represented as a recovered Wazuh database export. Exact timestamps, alert IDs, event counts and other historical identifiers are not fabricated as facts. Real screenshots or exported events should supersede reconstructed material whenever available.</w:t>
      </w:r>
    </w:p>
    <w:p>
      <w:pPr>
        <w:pStyle w:val="Heading2"/>
      </w:pPr>
      <w:r>
        <w:t>Appendix E — Submission Checklist</w:t>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Checklist item</w:t>
            </w:r>
          </w:p>
        </w:tc>
        <w:tc>
          <w:tcPr>
            <w:tcW w:type="dxa" w:w="4968"/>
            <w:shd w:fill="D9E2F3"/>
            <w:vAlign w:val="center"/>
          </w:tcPr>
          <w:p>
            <w:r>
              <w:t>Included / Status</w:t>
            </w:r>
          </w:p>
        </w:tc>
      </w:tr>
      <w:tr>
        <w:tc>
          <w:tcPr>
            <w:tcW w:type="dxa" w:w="4968"/>
            <w:vAlign w:val="center"/>
          </w:tcPr>
          <w:p>
            <w:r>
              <w:t>Network Diagram / Application Map</w:t>
            </w:r>
          </w:p>
        </w:tc>
        <w:tc>
          <w:tcPr>
            <w:tcW w:type="dxa" w:w="4968"/>
            <w:vAlign w:val="center"/>
          </w:tcPr>
          <w:p>
            <w:r>
              <w:t>Prepared / insert final image</w:t>
            </w:r>
          </w:p>
        </w:tc>
      </w:tr>
      <w:tr>
        <w:tc>
          <w:tcPr>
            <w:tcW w:type="dxa" w:w="4968"/>
            <w:vAlign w:val="center"/>
          </w:tcPr>
          <w:p>
            <w:r>
              <w:t>Asset Inventory</w:t>
            </w:r>
          </w:p>
        </w:tc>
        <w:tc>
          <w:tcPr>
            <w:tcW w:type="dxa" w:w="4968"/>
            <w:vAlign w:val="center"/>
          </w:tcPr>
          <w:p>
            <w:r>
              <w:t>Included</w:t>
            </w:r>
          </w:p>
        </w:tc>
      </w:tr>
      <w:tr>
        <w:tc>
          <w:tcPr>
            <w:tcW w:type="dxa" w:w="4968"/>
            <w:vAlign w:val="center"/>
          </w:tcPr>
          <w:p>
            <w:r>
              <w:t>CIA Analysis</w:t>
            </w:r>
          </w:p>
        </w:tc>
        <w:tc>
          <w:tcPr>
            <w:tcW w:type="dxa" w:w="4968"/>
            <w:vAlign w:val="center"/>
          </w:tcPr>
          <w:p>
            <w:r>
              <w:t>Included</w:t>
            </w:r>
          </w:p>
        </w:tc>
      </w:tr>
      <w:tr>
        <w:tc>
          <w:tcPr>
            <w:tcW w:type="dxa" w:w="4968"/>
            <w:vAlign w:val="center"/>
          </w:tcPr>
          <w:p>
            <w:r>
              <w:t>Risk Assessment</w:t>
            </w:r>
          </w:p>
        </w:tc>
        <w:tc>
          <w:tcPr>
            <w:tcW w:type="dxa" w:w="4968"/>
            <w:vAlign w:val="center"/>
          </w:tcPr>
          <w:p>
            <w:r>
              <w:t>Included</w:t>
            </w:r>
          </w:p>
        </w:tc>
      </w:tr>
      <w:tr>
        <w:tc>
          <w:tcPr>
            <w:tcW w:type="dxa" w:w="4968"/>
            <w:vAlign w:val="center"/>
          </w:tcPr>
          <w:p>
            <w:r>
              <w:t>Wazuh dashboard screenshot — agent Active</w:t>
            </w:r>
          </w:p>
        </w:tc>
        <w:tc>
          <w:tcPr>
            <w:tcW w:type="dxa" w:w="4968"/>
            <w:vAlign w:val="center"/>
          </w:tcPr>
          <w:p>
            <w:r>
              <w:t>Available from Week 1 evidence</w:t>
            </w:r>
          </w:p>
        </w:tc>
      </w:tr>
      <w:tr>
        <w:tc>
          <w:tcPr>
            <w:tcW w:type="dxa" w:w="4968"/>
            <w:vAlign w:val="center"/>
          </w:tcPr>
          <w:p>
            <w:r>
              <w:t>Attack Log — four simulations with evidence and timestamp</w:t>
            </w:r>
          </w:p>
        </w:tc>
        <w:tc>
          <w:tcPr>
            <w:tcW w:type="dxa" w:w="4968"/>
            <w:vAlign w:val="center"/>
          </w:tcPr>
          <w:p>
            <w:r>
              <w:t>Prepared; timestamp verification outstanding where noted</w:t>
            </w:r>
          </w:p>
        </w:tc>
      </w:tr>
      <w:tr>
        <w:tc>
          <w:tcPr>
            <w:tcW w:type="dxa" w:w="4968"/>
            <w:vAlign w:val="center"/>
          </w:tcPr>
          <w:p>
            <w:r>
              <w:t>Four detection notes with Wazuh dashboard screenshots</w:t>
            </w:r>
          </w:p>
        </w:tc>
        <w:tc>
          <w:tcPr>
            <w:tcW w:type="dxa" w:w="4968"/>
            <w:vAlign w:val="center"/>
          </w:tcPr>
          <w:p>
            <w:r>
              <w:t>Detection notes prepared; screenshots outstanding where unavailable</w:t>
            </w:r>
          </w:p>
        </w:tc>
      </w:tr>
      <w:tr>
        <w:tc>
          <w:tcPr>
            <w:tcW w:type="dxa" w:w="4968"/>
            <w:vAlign w:val="center"/>
          </w:tcPr>
          <w:p>
            <w:r>
              <w:t>Incident Report with timeline and evidence</w:t>
            </w:r>
          </w:p>
        </w:tc>
        <w:tc>
          <w:tcPr>
            <w:tcW w:type="dxa" w:w="4968"/>
            <w:vAlign w:val="center"/>
          </w:tcPr>
          <w:p>
            <w:r>
              <w:t>Included; evidence reconciliation outstanding</w:t>
            </w:r>
          </w:p>
        </w:tc>
      </w:tr>
      <w:tr>
        <w:tc>
          <w:tcPr>
            <w:tcW w:type="dxa" w:w="4968"/>
            <w:vAlign w:val="center"/>
          </w:tcPr>
          <w:p>
            <w:r>
              <w:t>Security Recommendations</w:t>
            </w:r>
          </w:p>
        </w:tc>
        <w:tc>
          <w:tcPr>
            <w:tcW w:type="dxa" w:w="4968"/>
            <w:vAlign w:val="center"/>
          </w:tcPr>
          <w:p>
            <w:r>
              <w:t>Included</w:t>
            </w:r>
          </w:p>
        </w:tc>
      </w:tr>
      <w:tr>
        <w:tc>
          <w:tcPr>
            <w:tcW w:type="dxa" w:w="4968"/>
            <w:vAlign w:val="center"/>
          </w:tcPr>
          <w:p>
            <w:r>
              <w:t>Executive Summary</w:t>
            </w:r>
          </w:p>
        </w:tc>
        <w:tc>
          <w:tcPr>
            <w:tcW w:type="dxa" w:w="4968"/>
            <w:vAlign w:val="center"/>
          </w:tcPr>
          <w:p>
            <w:r>
              <w:t>Included</w:t>
            </w:r>
          </w:p>
        </w:tc>
      </w:tr>
      <w:tr>
        <w:tc>
          <w:tcPr>
            <w:tcW w:type="dxa" w:w="4968"/>
            <w:vAlign w:val="center"/>
          </w:tcPr>
          <w:p>
            <w:r>
              <w:t>Final Presentation</w:t>
            </w:r>
          </w:p>
        </w:tc>
        <w:tc>
          <w:tcPr>
            <w:tcW w:type="dxa" w:w="4968"/>
            <w:vAlign w:val="center"/>
          </w:tcPr>
          <w:p>
            <w:r>
              <w:t>Prepared in Week 4 bundle</w:t>
            </w:r>
          </w:p>
        </w:tc>
      </w:tr>
      <w:tr>
        <w:tc>
          <w:tcPr>
            <w:tcW w:type="dxa" w:w="4968"/>
            <w:vAlign w:val="center"/>
          </w:tcPr>
          <w:p>
            <w:r>
              <w:t>All evidence files organized</w:t>
            </w:r>
          </w:p>
        </w:tc>
        <w:tc>
          <w:tcPr>
            <w:tcW w:type="dxa" w:w="4968"/>
            <w:vAlign w:val="center"/>
          </w:tcPr>
          <w:p>
            <w:r>
              <w:t>In progress — final assembly required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