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SecureCorp Security Assessment — Week 4</w:t>
      </w:r>
    </w:p>
    <w:p>
      <w:r>
        <w:t>CONFIDENTIAL — ACADEMIC ASSESSMENT</w:t>
      </w:r>
    </w:p>
    <w:p>
      <w:pPr>
        <w:pStyle w:val="Heading1"/>
      </w:pPr>
      <w:r>
        <w:t>Executive Summary</w:t>
      </w:r>
    </w:p>
    <w:p>
      <w:r>
        <w:t>SecureCorp's four-week assessment examined the security of a customer-facing</w:t>
        <w:br/>
        <w:t>web environment through controlled testing, centralized monitoring and</w:t>
        <w:br/>
        <w:t>remediation planning. The assessment used a self-contained laboratory in</w:t>
        <w:br/>
        <w:t>which Kali Linux represented the authorized attacker, Ubuntu hosted the DVWA</w:t>
        <w:br/>
        <w:t>target and related services, and an Arch Linux host provided centralized</w:t>
        <w:br/>
        <w:t>Wazuh management.</w:t>
      </w:r>
    </w:p>
    <w:p>
      <w:r>
        <w:t>The assessment demonstrated that weaknesses in a deliberately vulnerable web</w:t>
        <w:br/>
        <w:t>application can create meaningful business risk when unsafe input reaches</w:t>
        <w:br/>
        <w:t>database queries, browser output or operating-system commands. The four</w:t>
        <w:br/>
        <w:t>controlled attack scenarios covered brute-force authentication, SQL injection,</w:t>
        <w:br/>
        <w:t>cross-site scripting and command injection. Week 3 then examined the</w:t>
        <w:br/>
        <w:t>corresponding activity through Wazuh and Linux/web telemetry.</w:t>
      </w:r>
    </w:p>
    <w:p>
      <w:r>
        <w:t>The most serious technical concern is command injection because successful</w:t>
        <w:br/>
        <w:t>exploitation can move beyond the web application and result in operating-system</w:t>
        <w:br/>
        <w:t>command execution. SQL injection presents a high confidentiality and</w:t>
        <w:br/>
        <w:t>integrity risk because attacker-controlled input can reach database queries.</w:t>
        <w:br/>
        <w:t>XSS can affect users who interact with vulnerable application content.</w:t>
        <w:br/>
        <w:t>Brute-force activity demonstrates the importance of strong authentication,</w:t>
        <w:br/>
        <w:t>rate limiting and MFA.</w:t>
      </w:r>
    </w:p>
    <w:p>
      <w:r>
        <w:t>The assessment also established a useful monitoring capability. Wazuh</w:t>
        <w:br/>
        <w:t>centralized authentication, web-request and endpoint telemetry, while Linux</w:t>
        <w:br/>
        <w:t>auditd provided additional visibility into privileged execution. Documented</w:t>
        <w:br/>
        <w:t>Wazuh mappings included 31103/31106 for web attack patterns, 31103/31108 and</w:t>
        <w:br/>
        <w:t>auditd/80792 for command-injection investigation, and 5710/5763 for SSH</w:t>
        <w:br/>
        <w:t>brute-force detection.</w:t>
      </w:r>
    </w:p>
    <w:p>
      <w:r>
        <w:t>The recommended remediation priority is to address command execution and web</w:t>
        <w:br/>
        <w:t>input handling first, followed by authentication hardening and continued</w:t>
        <w:br/>
        <w:t>centralized monitoring. SecureCorp should use parameterized database queries,</w:t>
        <w:br/>
        <w:t>strict server-side validation, context-aware output encoding, safe APIs</w:t>
        <w:br/>
        <w:t>instead of shell execution, strong authentication controls, MFA for sensitive</w:t>
        <w:br/>
        <w:t>access, least privilege and reliable logging.</w:t>
      </w:r>
    </w:p>
    <w:p>
      <w:r>
        <w:t>These measures reduce the likelihood that an application-layer weakness can</w:t>
        <w:br/>
        <w:t>be converted into unauthorized data access, account compromise or server</w:t>
        <w:br/>
        <w:t>compromise. Management should treat the findings as a prioritized improvement</w:t>
        <w:br/>
        <w:t>plan rather than as isolated technical issues: application security,</w:t>
        <w:br/>
        <w:t>identity security, endpoint monitoring and recovery controls need to work</w:t>
        <w:br/>
        <w:t>together.</w:t>
      </w:r>
    </w:p>
    <w:p>
      <w:r>
        <w:br w:type="page"/>
      </w:r>
    </w:p>
    <w:p>
      <w:pPr>
        <w:pStyle w:val="Heading1"/>
      </w:pPr>
      <w:r>
        <w:t>Security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Area</w:t>
            </w:r>
          </w:p>
        </w:tc>
        <w:tc>
          <w:tcPr>
            <w:tcW w:type="dxa" w:w="1728"/>
          </w:tcPr>
          <w:p>
            <w:r>
              <w:t>Current State</w:t>
            </w:r>
          </w:p>
        </w:tc>
        <w:tc>
          <w:tcPr>
            <w:tcW w:type="dxa" w:w="1728"/>
          </w:tcPr>
          <w:p>
            <w:r>
              <w:t>Finding / Risk Link</w:t>
            </w:r>
          </w:p>
        </w:tc>
        <w:tc>
          <w:tcPr>
            <w:tcW w:type="dxa" w:w="1728"/>
          </w:tcPr>
          <w:p>
            <w:r>
              <w:t>Recommendation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Web input handling</w:t>
            </w:r>
          </w:p>
        </w:tc>
        <w:tc>
          <w:tcPr>
            <w:tcW w:type="dxa" w:w="1728"/>
          </w:tcPr>
          <w:p>
            <w:r>
              <w:t>DVWA demonstrated SQL injection exposure at low security</w:t>
            </w:r>
          </w:p>
        </w:tc>
        <w:tc>
          <w:tcPr>
            <w:tcW w:type="dxa" w:w="1728"/>
          </w:tcPr>
          <w:p>
            <w:r>
              <w:t>SQLi — Wazuh 31103/31106</w:t>
            </w:r>
          </w:p>
        </w:tc>
        <w:tc>
          <w:tcPr>
            <w:tcW w:type="dxa" w:w="1728"/>
          </w:tcPr>
          <w:p>
            <w:r>
              <w:t>Use parameterized queries, strict server-side validation, least-privilege DB accounts and safe error handling.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Output encoding</w:t>
            </w:r>
          </w:p>
        </w:tc>
        <w:tc>
          <w:tcPr>
            <w:tcW w:type="dxa" w:w="1728"/>
          </w:tcPr>
          <w:p>
            <w:r>
              <w:t>DVWA demonstrated XSS exposure</w:t>
            </w:r>
          </w:p>
        </w:tc>
        <w:tc>
          <w:tcPr>
            <w:tcW w:type="dxa" w:w="1728"/>
          </w:tcPr>
          <w:p>
            <w:r>
              <w:t>XSS — Wazuh 31103/31106</w:t>
            </w:r>
          </w:p>
        </w:tc>
        <w:tc>
          <w:tcPr>
            <w:tcW w:type="dxa" w:w="1728"/>
          </w:tcPr>
          <w:p>
            <w:r>
              <w:t>Apply context-aware output encoding, input validation and an appropriate Content Security Policy.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OS command execution</w:t>
            </w:r>
          </w:p>
        </w:tc>
        <w:tc>
          <w:tcPr>
            <w:tcW w:type="dxa" w:w="1728"/>
          </w:tcPr>
          <w:p>
            <w:r>
              <w:t>DVWA command-injection path can pass attacker-controlled input toward the OS</w:t>
            </w:r>
          </w:p>
        </w:tc>
        <w:tc>
          <w:tcPr>
            <w:tcW w:type="dxa" w:w="1728"/>
          </w:tcPr>
          <w:p>
            <w:r>
              <w:t>Command injection/RCE — 31103/31108; auditd/80792 correlation</w:t>
            </w:r>
          </w:p>
        </w:tc>
        <w:tc>
          <w:tcPr>
            <w:tcW w:type="dxa" w:w="1728"/>
          </w:tcPr>
          <w:p>
            <w:r>
              <w:t>Avoid shell execution where possible. Where unavoidable, use safe APIs, strict allowlists, validation and a least-privilege service account.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Repeated SSH authentication failures were detectable through Wazuh</w:t>
            </w:r>
          </w:p>
        </w:tc>
        <w:tc>
          <w:tcPr>
            <w:tcW w:type="dxa" w:w="1728"/>
          </w:tcPr>
          <w:p>
            <w:r>
              <w:t>Brute force — 5710/5763</w:t>
            </w:r>
          </w:p>
        </w:tc>
        <w:tc>
          <w:tcPr>
            <w:tcW w:type="dxa" w:w="1728"/>
          </w:tcPr>
          <w:p>
            <w:r>
              <w:t>Enforce strong unique passwords, rate limiting, lockout/anti-automation controls and MFA for sensitive access.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Privileged access</w:t>
            </w:r>
          </w:p>
        </w:tc>
        <w:tc>
          <w:tcPr>
            <w:tcW w:type="dxa" w:w="1728"/>
          </w:tcPr>
          <w:p>
            <w:r>
              <w:t>Linux telemetry includes sudo/su/auditd monitoring</w:t>
            </w:r>
          </w:p>
        </w:tc>
        <w:tc>
          <w:tcPr>
            <w:tcW w:type="dxa" w:w="1728"/>
          </w:tcPr>
          <w:p>
            <w:r>
              <w:t>5402, 5403, 5301, 80792</w:t>
            </w:r>
          </w:p>
        </w:tc>
        <w:tc>
          <w:tcPr>
            <w:tcW w:type="dxa" w:w="1728"/>
          </w:tcPr>
          <w:p>
            <w:r>
              <w:t>Minimize administrative privileges, review sudoers/su access and retain privileged-command auditing.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Logging &amp; monitoring</w:t>
            </w:r>
          </w:p>
        </w:tc>
        <w:tc>
          <w:tcPr>
            <w:tcW w:type="dxa" w:w="1728"/>
          </w:tcPr>
          <w:p>
            <w:r>
              <w:t>Wazuh centralizes authentication, web and endpoint telemetry</w:t>
            </w:r>
          </w:p>
        </w:tc>
        <w:tc>
          <w:tcPr>
            <w:tcW w:type="dxa" w:w="1728"/>
          </w:tcPr>
          <w:p>
            <w:r>
              <w:t>Week 3 detection workflow</w:t>
            </w:r>
          </w:p>
        </w:tc>
        <w:tc>
          <w:tcPr>
            <w:tcW w:type="dxa" w:w="1728"/>
          </w:tcPr>
          <w:p>
            <w:r>
              <w:t>Maintain Wazuh coverage, retain sufficient logs, tune alerts and periodically test detection of known attack patterns.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Patch management</w:t>
            </w:r>
          </w:p>
        </w:tc>
        <w:tc>
          <w:tcPr>
            <w:tcW w:type="dxa" w:w="1728"/>
          </w:tcPr>
          <w:p>
            <w:r>
              <w:t>Ubuntu web server is a critical service platform</w:t>
            </w:r>
          </w:p>
        </w:tc>
        <w:tc>
          <w:tcPr>
            <w:tcW w:type="dxa" w:w="1728"/>
          </w:tcPr>
          <w:p>
            <w:r>
              <w:t>Server compromise risk</w:t>
            </w:r>
          </w:p>
        </w:tc>
        <w:tc>
          <w:tcPr>
            <w:tcW w:type="dxa" w:w="1728"/>
          </w:tcPr>
          <w:p>
            <w:r>
              <w:t>Maintain OS, Apache, PHP, MariaDB and application components at supported security-patched versions.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Network exposure</w:t>
            </w:r>
          </w:p>
        </w:tc>
        <w:tc>
          <w:tcPr>
            <w:tcW w:type="dxa" w:w="1728"/>
          </w:tcPr>
          <w:p>
            <w:r>
              <w:t>Customer-facing services increase attack surface</w:t>
            </w:r>
          </w:p>
        </w:tc>
        <w:tc>
          <w:tcPr>
            <w:tcW w:type="dxa" w:w="1728"/>
          </w:tcPr>
          <w:p>
            <w:r>
              <w:t>External exploitation risk</w:t>
            </w:r>
          </w:p>
        </w:tc>
        <w:tc>
          <w:tcPr>
            <w:tcW w:type="dxa" w:w="1728"/>
          </w:tcPr>
          <w:p>
            <w:r>
              <w:t>Expose only required services, restrict management access and segment public-facing workloads from internal systems.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Backup &amp; recovery</w:t>
            </w:r>
          </w:p>
        </w:tc>
        <w:tc>
          <w:tcPr>
            <w:tcW w:type="dxa" w:w="1728"/>
          </w:tcPr>
          <w:p>
            <w:r>
              <w:t>Business availability depends on recoverable data/services</w:t>
            </w:r>
          </w:p>
        </w:tc>
        <w:tc>
          <w:tcPr>
            <w:tcW w:type="dxa" w:w="1728"/>
          </w:tcPr>
          <w:p>
            <w:r>
              <w:t>Compromise or disruption</w:t>
            </w:r>
          </w:p>
        </w:tc>
        <w:tc>
          <w:tcPr>
            <w:tcW w:type="dxa" w:w="1728"/>
          </w:tcPr>
          <w:p>
            <w:r>
              <w:t>Maintain protected backups and periodically test restoration procedures.</w:t>
            </w:r>
          </w:p>
        </w:tc>
        <w:tc>
          <w:tcPr>
            <w:tcW w:type="dxa" w:w="1728"/>
          </w:tcPr>
          <w:p>
            <w:r>
              <w:t>Medium–High</w:t>
            </w:r>
          </w:p>
        </w:tc>
      </w:tr>
      <w:tr>
        <w:tc>
          <w:tcPr>
            <w:tcW w:type="dxa" w:w="1728"/>
          </w:tcPr>
          <w:p>
            <w:r>
              <w:t>User/identity security</w:t>
            </w:r>
          </w:p>
        </w:tc>
        <w:tc>
          <w:tcPr>
            <w:tcW w:type="dxa" w:w="1728"/>
          </w:tcPr>
          <w:p>
            <w:r>
              <w:t>Employee accounts and credentials are business assets</w:t>
            </w:r>
          </w:p>
        </w:tc>
        <w:tc>
          <w:tcPr>
            <w:tcW w:type="dxa" w:w="1728"/>
          </w:tcPr>
          <w:p>
            <w:r>
              <w:t>Credential theft / phishing risk</w:t>
            </w:r>
          </w:p>
        </w:tc>
        <w:tc>
          <w:tcPr>
            <w:tcW w:type="dxa" w:w="1728"/>
          </w:tcPr>
          <w:p>
            <w:r>
              <w:t>Use MFA, regular access reviews, security awareness and phishing-resistant authentication where practical.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r>
        <w:br w:type="page"/>
      </w:r>
    </w:p>
    <w:p>
      <w:pPr>
        <w:pStyle w:val="Heading1"/>
      </w:pPr>
      <w:r>
        <w:t>Final Client Debrief</w:t>
      </w:r>
    </w:p>
    <w:p>
      <w:r>
        <w:t>Recommended 10–15 minute presentation structure</w:t>
      </w:r>
    </w:p>
    <w:p>
      <w:pPr>
        <w:pStyle w:val="ListNumber"/>
      </w:pPr>
      <w:r>
        <w:t>Engagement overview</w:t>
      </w:r>
    </w:p>
    <w:p>
      <w:pPr>
        <w:pStyle w:val="ListNumber"/>
      </w:pPr>
      <w:r>
        <w:t>Environment</w:t>
      </w:r>
    </w:p>
    <w:p>
      <w:pPr>
        <w:pStyle w:val="ListNumber"/>
      </w:pPr>
      <w:r>
        <w:t>Security posture</w:t>
      </w:r>
    </w:p>
    <w:p>
      <w:pPr>
        <w:pStyle w:val="ListNumber"/>
      </w:pPr>
      <w:r>
        <w:t>Week 2 findings</w:t>
      </w:r>
    </w:p>
    <w:p>
      <w:pPr>
        <w:pStyle w:val="ListNumber"/>
      </w:pPr>
      <w:r>
        <w:t>Week 3 detection</w:t>
      </w:r>
    </w:p>
    <w:p>
      <w:pPr>
        <w:pStyle w:val="ListNumber"/>
      </w:pPr>
      <w:r>
        <w:t>Business impact</w:t>
      </w:r>
    </w:p>
    <w:p>
      <w:pPr>
        <w:pStyle w:val="ListNumber"/>
      </w:pPr>
      <w:r>
        <w:t>Priority remediation</w:t>
      </w:r>
    </w:p>
    <w:p>
      <w:pPr>
        <w:pStyle w:val="ListNumber"/>
      </w:pPr>
      <w:r>
        <w:t>Monitoring and identity controls</w:t>
      </w:r>
    </w:p>
    <w:p>
      <w:pPr>
        <w:pStyle w:val="ListNumber"/>
      </w:pPr>
      <w:r>
        <w:t>Recovery and resilience</w:t>
      </w:r>
    </w:p>
    <w:p>
      <w:pPr>
        <w:pStyle w:val="ListNumber"/>
      </w:pPr>
      <w:r>
        <w:t>Lessons learned / close</w:t>
      </w:r>
    </w:p>
    <w:p>
      <w:pPr>
        <w:pStyle w:val="Heading1"/>
      </w:pPr>
      <w:r>
        <w:t>Closing Message</w:t>
      </w:r>
    </w:p>
    <w:p>
      <w:r>
        <w:t>The main conclusion is not simply that DVWA contains vulnerabilities. The assessment demonstrates why weaknesses need to be connected to business assets, detected through telemetry and followed by practical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