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Lab 8: TCP</w:t>
      </w:r>
      <w:r w:rsidDel="00000000" w:rsidR="00000000" w:rsidRPr="00000000">
        <w:rPr>
          <w:rtl w:val="0"/>
        </w:rPr>
      </w:r>
    </w:p>
    <w:p w:rsidR="00000000" w:rsidDel="00000000" w:rsidP="00000000" w:rsidRDefault="00000000" w:rsidRPr="00000000" w14:paraId="00000002">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University of Windsor</w:t>
      </w:r>
    </w:p>
    <w:p w:rsidR="00000000" w:rsidDel="00000000" w:rsidP="00000000" w:rsidRDefault="00000000" w:rsidRPr="00000000" w14:paraId="0000000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Department of Electrical and Computer Engineering</w:t>
      </w:r>
    </w:p>
    <w:p w:rsidR="00000000" w:rsidDel="00000000" w:rsidP="00000000" w:rsidRDefault="00000000" w:rsidRPr="00000000" w14:paraId="0000000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ELEC 8560 – Computer Networks</w:t>
      </w:r>
    </w:p>
    <w:p w:rsidR="00000000" w:rsidDel="00000000" w:rsidP="00000000" w:rsidRDefault="00000000" w:rsidRPr="00000000" w14:paraId="0000000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Semester: Fall 2023</w:t>
      </w:r>
    </w:p>
    <w:p w:rsidR="00000000" w:rsidDel="00000000" w:rsidP="00000000" w:rsidRDefault="00000000" w:rsidRPr="00000000" w14:paraId="00000007">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Student Name</w:t>
      </w:r>
      <w:r w:rsidDel="00000000" w:rsidR="00000000" w:rsidRPr="00000000">
        <w:rPr>
          <w:rFonts w:ascii="Times New Roman" w:cs="Times New Roman" w:eastAsia="Times New Roman" w:hAnsi="Times New Roman"/>
          <w:rtl w:val="0"/>
        </w:rPr>
        <w:t xml:space="preserve">: Amey Mahendra Thakur</w:t>
      </w:r>
    </w:p>
    <w:p w:rsidR="00000000" w:rsidDel="00000000" w:rsidP="00000000" w:rsidRDefault="00000000" w:rsidRPr="00000000" w14:paraId="00000009">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Student number</w:t>
      </w:r>
      <w:r w:rsidDel="00000000" w:rsidR="00000000" w:rsidRPr="00000000">
        <w:rPr>
          <w:rFonts w:ascii="Times New Roman" w:cs="Times New Roman" w:eastAsia="Times New Roman" w:hAnsi="Times New Roman"/>
          <w:rtl w:val="0"/>
        </w:rPr>
        <w:t xml:space="preserve">: 110107589</w:t>
      </w:r>
    </w:p>
    <w:p w:rsidR="00000000" w:rsidDel="00000000" w:rsidP="00000000" w:rsidRDefault="00000000" w:rsidRPr="00000000" w14:paraId="0000000B">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spacing w:line="240" w:lineRule="auto"/>
        <w:jc w:val="both"/>
        <w:rPr>
          <w:rFonts w:ascii="Times New Roman" w:cs="Times New Roman" w:eastAsia="Times New Roman" w:hAnsi="Times New Roman"/>
          <w:b w:val="1"/>
          <w:u w:val="single"/>
        </w:rPr>
      </w:pPr>
      <w:bookmarkStart w:colFirst="0" w:colLast="0" w:name="_gjdgxs" w:id="0"/>
      <w:bookmarkEnd w:id="0"/>
      <w:r w:rsidDel="00000000" w:rsidR="00000000" w:rsidRPr="00000000">
        <w:rPr>
          <w:rFonts w:ascii="Times New Roman" w:cs="Times New Roman" w:eastAsia="Times New Roman" w:hAnsi="Times New Roman"/>
          <w:b w:val="1"/>
          <w:u w:val="single"/>
          <w:rtl w:val="0"/>
        </w:rPr>
        <w:t xml:space="preserve">Answers:</w:t>
      </w:r>
    </w:p>
    <w:p w:rsidR="00000000" w:rsidDel="00000000" w:rsidP="00000000" w:rsidRDefault="00000000" w:rsidRPr="00000000" w14:paraId="0000000D">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numPr>
          <w:ilvl w:val="0"/>
          <w:numId w:val="1"/>
        </w:numPr>
        <w:spacing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 Client’s IP address is</w:t>
      </w:r>
      <w:r w:rsidDel="00000000" w:rsidR="00000000" w:rsidRPr="00000000">
        <w:rPr>
          <w:rFonts w:ascii="Times New Roman" w:cs="Times New Roman" w:eastAsia="Times New Roman" w:hAnsi="Times New Roman"/>
          <w:b w:val="1"/>
          <w:rtl w:val="0"/>
        </w:rPr>
        <w:t xml:space="preserve"> 192.168.2.95 </w:t>
      </w:r>
      <w:r w:rsidDel="00000000" w:rsidR="00000000" w:rsidRPr="00000000">
        <w:rPr>
          <w:rFonts w:ascii="Times New Roman" w:cs="Times New Roman" w:eastAsia="Times New Roman" w:hAnsi="Times New Roman"/>
          <w:rtl w:val="0"/>
        </w:rPr>
        <w:t xml:space="preserve">and the TPC port number is </w:t>
      </w:r>
      <w:r w:rsidDel="00000000" w:rsidR="00000000" w:rsidRPr="00000000">
        <w:rPr>
          <w:rFonts w:ascii="Times New Roman" w:cs="Times New Roman" w:eastAsia="Times New Roman" w:hAnsi="Times New Roman"/>
          <w:b w:val="1"/>
          <w:rtl w:val="0"/>
        </w:rPr>
        <w:t xml:space="preserve">50533</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0F">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225800"/>
            <wp:effectExtent b="25400" l="25400" r="25400" t="25400"/>
            <wp:docPr id="1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731200" cy="3225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1">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numPr>
          <w:ilvl w:val="0"/>
          <w:numId w:val="1"/>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IP address of gaia.cs.umass.edu is </w:t>
      </w:r>
      <w:r w:rsidDel="00000000" w:rsidR="00000000" w:rsidRPr="00000000">
        <w:rPr>
          <w:rFonts w:ascii="Times New Roman" w:cs="Times New Roman" w:eastAsia="Times New Roman" w:hAnsi="Times New Roman"/>
          <w:b w:val="1"/>
          <w:rtl w:val="0"/>
        </w:rPr>
        <w:t xml:space="preserve">128.119.245.12</w:t>
      </w:r>
      <w:r w:rsidDel="00000000" w:rsidR="00000000" w:rsidRPr="00000000">
        <w:rPr>
          <w:rFonts w:ascii="Times New Roman" w:cs="Times New Roman" w:eastAsia="Times New Roman" w:hAnsi="Times New Roman"/>
          <w:rtl w:val="0"/>
        </w:rPr>
        <w:t xml:space="preserve"> and the TCP port number is </w:t>
      </w:r>
      <w:r w:rsidDel="00000000" w:rsidR="00000000" w:rsidRPr="00000000">
        <w:rPr>
          <w:rFonts w:ascii="Times New Roman" w:cs="Times New Roman" w:eastAsia="Times New Roman" w:hAnsi="Times New Roman"/>
          <w:b w:val="1"/>
          <w:rtl w:val="0"/>
        </w:rPr>
        <w:t xml:space="preserve">80</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5">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225800"/>
            <wp:effectExtent b="25400" l="25400" r="25400" t="25400"/>
            <wp:docPr id="5"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731200" cy="3225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7">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numPr>
          <w:ilvl w:val="0"/>
          <w:numId w:val="1"/>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sequence number of the TCP SYN segment is </w:t>
      </w:r>
      <w:r w:rsidDel="00000000" w:rsidR="00000000" w:rsidRPr="00000000">
        <w:rPr>
          <w:rFonts w:ascii="Times New Roman" w:cs="Times New Roman" w:eastAsia="Times New Roman" w:hAnsi="Times New Roman"/>
          <w:b w:val="1"/>
          <w:rtl w:val="0"/>
        </w:rPr>
        <w:t xml:space="preserve">954047503.</w:t>
      </w:r>
      <w:r w:rsidDel="00000000" w:rsidR="00000000" w:rsidRPr="00000000">
        <w:rPr>
          <w:rFonts w:ascii="Times New Roman" w:cs="Times New Roman" w:eastAsia="Times New Roman" w:hAnsi="Times New Roman"/>
          <w:rtl w:val="0"/>
        </w:rPr>
        <w:t xml:space="preserve"> since it is used to imitate the TCP connection between the client computer and gaia.cs.umass.edu. </w:t>
      </w:r>
      <w:r w:rsidDel="00000000" w:rsidR="00000000" w:rsidRPr="00000000">
        <w:rPr>
          <w:rtl w:val="0"/>
        </w:rPr>
      </w:r>
    </w:p>
    <w:p w:rsidR="00000000" w:rsidDel="00000000" w:rsidP="00000000" w:rsidRDefault="00000000" w:rsidRPr="00000000" w14:paraId="00000029">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225800"/>
            <wp:effectExtent b="0" l="0" r="0" t="0"/>
            <wp:docPr id="8"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numPr>
          <w:ilvl w:val="0"/>
          <w:numId w:val="1"/>
        </w:numPr>
        <w:spacing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Flags section, the</w:t>
      </w:r>
      <w:r w:rsidDel="00000000" w:rsidR="00000000" w:rsidRPr="00000000">
        <w:rPr>
          <w:rFonts w:ascii="Times New Roman" w:cs="Times New Roman" w:eastAsia="Times New Roman" w:hAnsi="Times New Roman"/>
          <w:b w:val="1"/>
          <w:rtl w:val="0"/>
        </w:rPr>
        <w:t xml:space="preserve"> Syn flag is set to 1</w:t>
      </w:r>
      <w:r w:rsidDel="00000000" w:rsidR="00000000" w:rsidRPr="00000000">
        <w:rPr>
          <w:rFonts w:ascii="Times New Roman" w:cs="Times New Roman" w:eastAsia="Times New Roman" w:hAnsi="Times New Roman"/>
          <w:rtl w:val="0"/>
        </w:rPr>
        <w:t xml:space="preserve"> which indicates that this segment is a SYN segment. The TCP receiver in this session</w:t>
      </w:r>
      <w:r w:rsidDel="00000000" w:rsidR="00000000" w:rsidRPr="00000000">
        <w:rPr>
          <w:rFonts w:ascii="Times New Roman" w:cs="Times New Roman" w:eastAsia="Times New Roman" w:hAnsi="Times New Roman"/>
          <w:b w:val="1"/>
          <w:rtl w:val="0"/>
        </w:rPr>
        <w:t xml:space="preserve"> will be able to</w:t>
      </w:r>
      <w:r w:rsidDel="00000000" w:rsidR="00000000" w:rsidRPr="00000000">
        <w:rPr>
          <w:rFonts w:ascii="Times New Roman" w:cs="Times New Roman" w:eastAsia="Times New Roman" w:hAnsi="Times New Roman"/>
          <w:rtl w:val="0"/>
        </w:rPr>
        <w:t xml:space="preserve"> use Selective Acknowledgments.</w:t>
      </w:r>
    </w:p>
    <w:p w:rsidR="00000000" w:rsidDel="00000000" w:rsidP="00000000" w:rsidRDefault="00000000" w:rsidRPr="00000000" w14:paraId="00000034">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225800"/>
            <wp:effectExtent b="25400" l="25400" r="25400" t="25400"/>
            <wp:docPr id="1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3225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6">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numPr>
          <w:ilvl w:val="0"/>
          <w:numId w:val="1"/>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sequence number of the SYNACK segment sent by gaia.cs.umass.edu to the client computer in reply to the SYN is  </w:t>
      </w:r>
      <w:r w:rsidDel="00000000" w:rsidR="00000000" w:rsidRPr="00000000">
        <w:rPr>
          <w:rFonts w:ascii="Times New Roman" w:cs="Times New Roman" w:eastAsia="Times New Roman" w:hAnsi="Times New Roman"/>
          <w:b w:val="1"/>
          <w:rtl w:val="0"/>
        </w:rPr>
        <w:t xml:space="preserve">1958276926. </w:t>
      </w:r>
      <w:r w:rsidDel="00000000" w:rsidR="00000000" w:rsidRPr="00000000">
        <w:rPr>
          <w:rFonts w:ascii="Times New Roman" w:cs="Times New Roman" w:eastAsia="Times New Roman" w:hAnsi="Times New Roman"/>
          <w:rtl w:val="0"/>
        </w:rPr>
        <w:t xml:space="preserve">The value of the acknowledgement field in the SYNACK segment is 1. The value of the Acknowledgement field in the SYNACK segment is determined by the server gaia.cs.umass.edu. The server adds 1 to the initial sequence number of SYN segment form the client computer.</w:t>
      </w:r>
    </w:p>
    <w:p w:rsidR="00000000" w:rsidDel="00000000" w:rsidP="00000000" w:rsidRDefault="00000000" w:rsidRPr="00000000" w14:paraId="00000038">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225800"/>
            <wp:effectExtent b="25400" l="25400" r="25400" t="25400"/>
            <wp:docPr id="9"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1200" cy="3225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A">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numPr>
          <w:ilvl w:val="0"/>
          <w:numId w:val="1"/>
        </w:numPr>
        <w:spacing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sequence number of the TCP segment containing the header of the HTTP POST command is </w:t>
      </w:r>
      <w:r w:rsidDel="00000000" w:rsidR="00000000" w:rsidRPr="00000000">
        <w:rPr>
          <w:rFonts w:ascii="Times New Roman" w:cs="Times New Roman" w:eastAsia="Times New Roman" w:hAnsi="Times New Roman"/>
          <w:b w:val="1"/>
          <w:rtl w:val="0"/>
        </w:rPr>
        <w:t xml:space="preserve">954047504.</w:t>
      </w:r>
      <w:r w:rsidDel="00000000" w:rsidR="00000000" w:rsidRPr="00000000">
        <w:rPr>
          <w:rFonts w:ascii="Times New Roman" w:cs="Times New Roman" w:eastAsia="Times New Roman" w:hAnsi="Times New Roman"/>
          <w:rtl w:val="0"/>
        </w:rPr>
        <w:t xml:space="preserve"> The bytes of data are contained in the payload (data) field of this TCP segment is </w:t>
      </w:r>
      <w:r w:rsidDel="00000000" w:rsidR="00000000" w:rsidRPr="00000000">
        <w:rPr>
          <w:rFonts w:ascii="Times New Roman" w:cs="Times New Roman" w:eastAsia="Times New Roman" w:hAnsi="Times New Roman"/>
          <w:b w:val="1"/>
          <w:rtl w:val="0"/>
        </w:rPr>
        <w:t xml:space="preserve">644 Bytes.</w:t>
      </w:r>
      <w:r w:rsidDel="00000000" w:rsidR="00000000" w:rsidRPr="00000000">
        <w:rPr>
          <w:rFonts w:ascii="Times New Roman" w:cs="Times New Roman" w:eastAsia="Times New Roman" w:hAnsi="Times New Roman"/>
          <w:rtl w:val="0"/>
        </w:rPr>
        <w:t xml:space="preserve"> The data that we transferred cannot fit into a single segment as a TCP segment can only take 64KBytes of data but our file is about 150KBytes.</w:t>
      </w:r>
    </w:p>
    <w:p w:rsidR="00000000" w:rsidDel="00000000" w:rsidP="00000000" w:rsidRDefault="00000000" w:rsidRPr="00000000" w14:paraId="0000003D">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225800"/>
            <wp:effectExtent b="25400" l="25400" r="25400" t="25400"/>
            <wp:docPr id="10"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200" cy="3225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F">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numPr>
          <w:ilvl w:val="0"/>
          <w:numId w:val="1"/>
        </w:numPr>
        <w:spacing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first segment in the data transfer part of the TCP connection has been sent at </w:t>
      </w:r>
      <w:r w:rsidDel="00000000" w:rsidR="00000000" w:rsidRPr="00000000">
        <w:rPr>
          <w:rFonts w:ascii="Times New Roman" w:cs="Times New Roman" w:eastAsia="Times New Roman" w:hAnsi="Times New Roman"/>
          <w:b w:val="1"/>
          <w:rtl w:val="0"/>
        </w:rPr>
        <w:t xml:space="preserve">2.580842000 seconds.</w:t>
      </w:r>
    </w:p>
    <w:p w:rsidR="00000000" w:rsidDel="00000000" w:rsidP="00000000" w:rsidRDefault="00000000" w:rsidRPr="00000000" w14:paraId="00000041">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1200" cy="3225800"/>
            <wp:effectExtent b="25400" l="25400" r="25400" t="2540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3225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3">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numPr>
          <w:ilvl w:val="0"/>
          <w:numId w:val="1"/>
        </w:numPr>
        <w:spacing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length of first packet is </w:t>
      </w:r>
      <w:r w:rsidDel="00000000" w:rsidR="00000000" w:rsidRPr="00000000">
        <w:rPr>
          <w:rFonts w:ascii="Times New Roman" w:cs="Times New Roman" w:eastAsia="Times New Roman" w:hAnsi="Times New Roman"/>
          <w:b w:val="1"/>
          <w:rtl w:val="0"/>
        </w:rPr>
        <w:t xml:space="preserve">684 Bytes</w:t>
      </w:r>
      <w:r w:rsidDel="00000000" w:rsidR="00000000" w:rsidRPr="00000000">
        <w:rPr>
          <w:rFonts w:ascii="Times New Roman" w:cs="Times New Roman" w:eastAsia="Times New Roman" w:hAnsi="Times New Roman"/>
          <w:rtl w:val="0"/>
        </w:rPr>
        <w:t xml:space="preserve"> and the rest of the three packets is </w:t>
      </w:r>
      <w:r w:rsidDel="00000000" w:rsidR="00000000" w:rsidRPr="00000000">
        <w:rPr>
          <w:rFonts w:ascii="Times New Roman" w:cs="Times New Roman" w:eastAsia="Times New Roman" w:hAnsi="Times New Roman"/>
          <w:b w:val="1"/>
          <w:rtl w:val="0"/>
        </w:rPr>
        <w:t xml:space="preserve">1492 Bytes.</w:t>
      </w:r>
    </w:p>
    <w:p w:rsidR="00000000" w:rsidDel="00000000" w:rsidP="00000000" w:rsidRDefault="00000000" w:rsidRPr="00000000" w14:paraId="00000048">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225800"/>
            <wp:effectExtent b="25400" l="25400" r="25400" t="25400"/>
            <wp:docPr id="3"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731200" cy="3225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A">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numPr>
          <w:ilvl w:val="0"/>
          <w:numId w:val="1"/>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minimum amount of available buffer space advertised at the received for the first four data-carrying TCP segments, its value is</w:t>
      </w:r>
      <w:r w:rsidDel="00000000" w:rsidR="00000000" w:rsidRPr="00000000">
        <w:rPr>
          <w:rFonts w:ascii="Times New Roman" w:cs="Times New Roman" w:eastAsia="Times New Roman" w:hAnsi="Times New Roman"/>
          <w:b w:val="1"/>
          <w:rtl w:val="0"/>
        </w:rPr>
        <w:t xml:space="preserve"> 29200 Bytes. </w:t>
      </w:r>
      <w:r w:rsidDel="00000000" w:rsidR="00000000" w:rsidRPr="00000000">
        <w:rPr>
          <w:rFonts w:ascii="Times New Roman" w:cs="Times New Roman" w:eastAsia="Times New Roman" w:hAnsi="Times New Roman"/>
          <w:rtl w:val="0"/>
        </w:rPr>
        <w:t xml:space="preserve">The lack of receiver buffer space</w:t>
      </w:r>
      <w:r w:rsidDel="00000000" w:rsidR="00000000" w:rsidRPr="00000000">
        <w:rPr>
          <w:rFonts w:ascii="Times New Roman" w:cs="Times New Roman" w:eastAsia="Times New Roman" w:hAnsi="Times New Roman"/>
          <w:b w:val="1"/>
          <w:rtl w:val="0"/>
        </w:rPr>
        <w:t xml:space="preserve"> never throttled </w:t>
      </w:r>
      <w:r w:rsidDel="00000000" w:rsidR="00000000" w:rsidRPr="00000000">
        <w:rPr>
          <w:rFonts w:ascii="Times New Roman" w:cs="Times New Roman" w:eastAsia="Times New Roman" w:hAnsi="Times New Roman"/>
          <w:rtl w:val="0"/>
        </w:rPr>
        <w:t xml:space="preserve">the sender for these first four data-carrying segments.</w:t>
      </w:r>
    </w:p>
    <w:p w:rsidR="00000000" w:rsidDel="00000000" w:rsidP="00000000" w:rsidRDefault="00000000" w:rsidRPr="00000000" w14:paraId="0000004C">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225800"/>
            <wp:effectExtent b="25400" l="25400" r="25400" t="25400"/>
            <wp:docPr id="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1200" cy="3225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E">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numPr>
          <w:ilvl w:val="0"/>
          <w:numId w:val="1"/>
        </w:numPr>
        <w:spacing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There are no re-transmitted segments in the trace file. By checking the TCP segment’s Sequence Number in the trace file, we can verify it. In Time-Sequence-Graph (Stevens) belonging to this trace, all the sequence numbers from the Source to the Destination are monotonically increasing with respect to time. The Sequence Number of any retransmitted segments must be lower than the neighboring segments if there are any.</w:t>
      </w:r>
    </w:p>
    <w:p w:rsidR="00000000" w:rsidDel="00000000" w:rsidP="00000000" w:rsidRDefault="00000000" w:rsidRPr="00000000" w14:paraId="00000055">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225800"/>
            <wp:effectExtent b="25400" l="25400" r="25400" t="25400"/>
            <wp:docPr id="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31200" cy="3225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7">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Among the first 10 data-carrying segments sent from the client to gaia.cs.umass.edu, the receiver acknowledges 1452 bytes in an ACK. There are instances where the receiver is Acknowledging every other segment, as can be seen by looking at the amount of acknowledged data by each ACK. </w:t>
      </w:r>
    </w:p>
    <w:p w:rsidR="00000000" w:rsidDel="00000000" w:rsidP="00000000" w:rsidRDefault="00000000" w:rsidRPr="00000000" w14:paraId="00000073">
      <w:pPr>
        <w:spacing w:line="240" w:lineRule="auto"/>
        <w:ind w:left="720" w:firstLine="0"/>
        <w:rPr>
          <w:rFonts w:ascii="Times New Roman" w:cs="Times New Roman" w:eastAsia="Times New Roman" w:hAnsi="Times New Roman"/>
        </w:rPr>
      </w:pPr>
      <w:r w:rsidDel="00000000" w:rsidR="00000000" w:rsidRPr="00000000">
        <w:rPr>
          <w:rtl w:val="0"/>
        </w:rPr>
      </w:r>
    </w:p>
    <w:tbl>
      <w:tblPr>
        <w:tblStyle w:val="Table1"/>
        <w:tblW w:w="7920.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94"/>
        <w:gridCol w:w="2563"/>
        <w:gridCol w:w="2563"/>
        <w:tblGridChange w:id="0">
          <w:tblGrid>
            <w:gridCol w:w="2794"/>
            <w:gridCol w:w="2563"/>
            <w:gridCol w:w="2563"/>
          </w:tblGrid>
        </w:tblGridChange>
      </w:tblGrid>
      <w:tr>
        <w:trPr>
          <w:cantSplit w:val="0"/>
          <w:trHeight w:val="578" w:hRule="atLeast"/>
          <w:tblHeader w:val="0"/>
        </w:trPr>
        <w:tc>
          <w:tcPr/>
          <w:p w:rsidR="00000000" w:rsidDel="00000000" w:rsidP="00000000" w:rsidRDefault="00000000" w:rsidRPr="00000000" w14:paraId="00000074">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ACKNOWLEDGEMENT</w:t>
            </w:r>
          </w:p>
        </w:tc>
        <w:tc>
          <w:tcPr/>
          <w:p w:rsidR="00000000" w:rsidDel="00000000" w:rsidP="00000000" w:rsidRDefault="00000000" w:rsidRPr="00000000" w14:paraId="00000075">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ACKNOWLEDGED SEQUENCE NUMBER</w:t>
            </w:r>
          </w:p>
        </w:tc>
        <w:tc>
          <w:tcPr/>
          <w:p w:rsidR="00000000" w:rsidDel="00000000" w:rsidP="00000000" w:rsidRDefault="00000000" w:rsidRPr="00000000" w14:paraId="00000076">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ACKNOWLEDGED DATA</w:t>
            </w:r>
          </w:p>
        </w:tc>
      </w:tr>
      <w:tr>
        <w:trPr>
          <w:cantSplit w:val="0"/>
          <w:trHeight w:val="289" w:hRule="atLeast"/>
          <w:tblHeader w:val="0"/>
        </w:trPr>
        <w:tc>
          <w:tcPr/>
          <w:p w:rsidR="00000000" w:rsidDel="00000000" w:rsidP="00000000" w:rsidRDefault="00000000" w:rsidRPr="00000000" w14:paraId="0000007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ACK1</w:t>
            </w:r>
          </w:p>
        </w:tc>
        <w:tc>
          <w:tcPr/>
          <w:p w:rsidR="00000000" w:rsidDel="00000000" w:rsidP="00000000" w:rsidRDefault="00000000" w:rsidRPr="00000000" w14:paraId="0000007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07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644</w:t>
            </w:r>
          </w:p>
        </w:tc>
      </w:tr>
      <w:tr>
        <w:trPr>
          <w:cantSplit w:val="0"/>
          <w:trHeight w:val="289" w:hRule="atLeast"/>
          <w:tblHeader w:val="0"/>
        </w:trPr>
        <w:tc>
          <w:tcPr/>
          <w:p w:rsidR="00000000" w:rsidDel="00000000" w:rsidP="00000000" w:rsidRDefault="00000000" w:rsidRPr="00000000" w14:paraId="0000007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ACK2</w:t>
            </w:r>
          </w:p>
        </w:tc>
        <w:tc>
          <w:tcPr/>
          <w:p w:rsidR="00000000" w:rsidDel="00000000" w:rsidP="00000000" w:rsidRDefault="00000000" w:rsidRPr="00000000" w14:paraId="0000007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645</w:t>
            </w:r>
          </w:p>
        </w:tc>
        <w:tc>
          <w:tcPr/>
          <w:p w:rsidR="00000000" w:rsidDel="00000000" w:rsidP="00000000" w:rsidRDefault="00000000" w:rsidRPr="00000000" w14:paraId="0000007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1452</w:t>
            </w:r>
          </w:p>
        </w:tc>
      </w:tr>
      <w:tr>
        <w:trPr>
          <w:cantSplit w:val="0"/>
          <w:trHeight w:val="289" w:hRule="atLeast"/>
          <w:tblHeader w:val="0"/>
        </w:trPr>
        <w:tc>
          <w:tcPr/>
          <w:p w:rsidR="00000000" w:rsidDel="00000000" w:rsidP="00000000" w:rsidRDefault="00000000" w:rsidRPr="00000000" w14:paraId="0000007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ACK3</w:t>
            </w:r>
          </w:p>
        </w:tc>
        <w:tc>
          <w:tcPr/>
          <w:p w:rsidR="00000000" w:rsidDel="00000000" w:rsidP="00000000" w:rsidRDefault="00000000" w:rsidRPr="00000000" w14:paraId="0000007E">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2097</w:t>
            </w:r>
          </w:p>
        </w:tc>
        <w:tc>
          <w:tcPr/>
          <w:p w:rsidR="00000000" w:rsidDel="00000000" w:rsidP="00000000" w:rsidRDefault="00000000" w:rsidRPr="00000000" w14:paraId="0000007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1452</w:t>
            </w:r>
          </w:p>
        </w:tc>
      </w:tr>
      <w:tr>
        <w:trPr>
          <w:cantSplit w:val="0"/>
          <w:trHeight w:val="289" w:hRule="atLeast"/>
          <w:tblHeader w:val="0"/>
        </w:trPr>
        <w:tc>
          <w:tcPr/>
          <w:p w:rsidR="00000000" w:rsidDel="00000000" w:rsidP="00000000" w:rsidRDefault="00000000" w:rsidRPr="00000000" w14:paraId="0000008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ACK4</w:t>
            </w:r>
          </w:p>
        </w:tc>
        <w:tc>
          <w:tcPr/>
          <w:p w:rsidR="00000000" w:rsidDel="00000000" w:rsidP="00000000" w:rsidRDefault="00000000" w:rsidRPr="00000000" w14:paraId="0000008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3549</w:t>
            </w:r>
          </w:p>
        </w:tc>
        <w:tc>
          <w:tcPr/>
          <w:p w:rsidR="00000000" w:rsidDel="00000000" w:rsidP="00000000" w:rsidRDefault="00000000" w:rsidRPr="00000000" w14:paraId="0000008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1452</w:t>
            </w:r>
          </w:p>
        </w:tc>
      </w:tr>
      <w:tr>
        <w:trPr>
          <w:cantSplit w:val="0"/>
          <w:trHeight w:val="289" w:hRule="atLeast"/>
          <w:tblHeader w:val="0"/>
        </w:trPr>
        <w:tc>
          <w:tcPr/>
          <w:p w:rsidR="00000000" w:rsidDel="00000000" w:rsidP="00000000" w:rsidRDefault="00000000" w:rsidRPr="00000000" w14:paraId="0000008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ACK5</w:t>
            </w:r>
          </w:p>
        </w:tc>
        <w:tc>
          <w:tcPr/>
          <w:p w:rsidR="00000000" w:rsidDel="00000000" w:rsidP="00000000" w:rsidRDefault="00000000" w:rsidRPr="00000000" w14:paraId="0000008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5001</w:t>
            </w:r>
          </w:p>
        </w:tc>
        <w:tc>
          <w:tcPr/>
          <w:p w:rsidR="00000000" w:rsidDel="00000000" w:rsidP="00000000" w:rsidRDefault="00000000" w:rsidRPr="00000000" w14:paraId="0000008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1452</w:t>
            </w:r>
          </w:p>
        </w:tc>
      </w:tr>
      <w:tr>
        <w:trPr>
          <w:cantSplit w:val="0"/>
          <w:trHeight w:val="275" w:hRule="atLeast"/>
          <w:tblHeader w:val="0"/>
        </w:trPr>
        <w:tc>
          <w:tcPr/>
          <w:p w:rsidR="00000000" w:rsidDel="00000000" w:rsidP="00000000" w:rsidRDefault="00000000" w:rsidRPr="00000000" w14:paraId="0000008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ACK6</w:t>
            </w:r>
          </w:p>
        </w:tc>
        <w:tc>
          <w:tcPr/>
          <w:p w:rsidR="00000000" w:rsidDel="00000000" w:rsidP="00000000" w:rsidRDefault="00000000" w:rsidRPr="00000000" w14:paraId="0000008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6453</w:t>
            </w:r>
          </w:p>
        </w:tc>
        <w:tc>
          <w:tcPr/>
          <w:p w:rsidR="00000000" w:rsidDel="00000000" w:rsidP="00000000" w:rsidRDefault="00000000" w:rsidRPr="00000000" w14:paraId="0000008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1452</w:t>
            </w:r>
          </w:p>
        </w:tc>
      </w:tr>
      <w:tr>
        <w:trPr>
          <w:cantSplit w:val="0"/>
          <w:trHeight w:val="289" w:hRule="atLeast"/>
          <w:tblHeader w:val="0"/>
        </w:trPr>
        <w:tc>
          <w:tcPr/>
          <w:p w:rsidR="00000000" w:rsidDel="00000000" w:rsidP="00000000" w:rsidRDefault="00000000" w:rsidRPr="00000000" w14:paraId="0000008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ACK7</w:t>
            </w:r>
          </w:p>
        </w:tc>
        <w:tc>
          <w:tcPr/>
          <w:p w:rsidR="00000000" w:rsidDel="00000000" w:rsidP="00000000" w:rsidRDefault="00000000" w:rsidRPr="00000000" w14:paraId="0000008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7905</w:t>
            </w:r>
          </w:p>
        </w:tc>
        <w:tc>
          <w:tcPr/>
          <w:p w:rsidR="00000000" w:rsidDel="00000000" w:rsidP="00000000" w:rsidRDefault="00000000" w:rsidRPr="00000000" w14:paraId="0000008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1452</w:t>
            </w:r>
          </w:p>
        </w:tc>
      </w:tr>
      <w:tr>
        <w:trPr>
          <w:cantSplit w:val="0"/>
          <w:trHeight w:val="289" w:hRule="atLeast"/>
          <w:tblHeader w:val="0"/>
        </w:trPr>
        <w:tc>
          <w:tcPr/>
          <w:p w:rsidR="00000000" w:rsidDel="00000000" w:rsidP="00000000" w:rsidRDefault="00000000" w:rsidRPr="00000000" w14:paraId="0000008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ACK8</w:t>
            </w:r>
          </w:p>
        </w:tc>
        <w:tc>
          <w:tcPr/>
          <w:p w:rsidR="00000000" w:rsidDel="00000000" w:rsidP="00000000" w:rsidRDefault="00000000" w:rsidRPr="00000000" w14:paraId="0000008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9357</w:t>
            </w:r>
          </w:p>
        </w:tc>
        <w:tc>
          <w:tcPr/>
          <w:p w:rsidR="00000000" w:rsidDel="00000000" w:rsidP="00000000" w:rsidRDefault="00000000" w:rsidRPr="00000000" w14:paraId="0000008E">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1452</w:t>
            </w:r>
          </w:p>
        </w:tc>
      </w:tr>
      <w:tr>
        <w:trPr>
          <w:cantSplit w:val="0"/>
          <w:trHeight w:val="289" w:hRule="atLeast"/>
          <w:tblHeader w:val="0"/>
        </w:trPr>
        <w:tc>
          <w:tcPr/>
          <w:p w:rsidR="00000000" w:rsidDel="00000000" w:rsidP="00000000" w:rsidRDefault="00000000" w:rsidRPr="00000000" w14:paraId="0000008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ACK9</w:t>
            </w:r>
          </w:p>
        </w:tc>
        <w:tc>
          <w:tcPr/>
          <w:p w:rsidR="00000000" w:rsidDel="00000000" w:rsidP="00000000" w:rsidRDefault="00000000" w:rsidRPr="00000000" w14:paraId="0000009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10809</w:t>
            </w:r>
          </w:p>
        </w:tc>
        <w:tc>
          <w:tcPr/>
          <w:p w:rsidR="00000000" w:rsidDel="00000000" w:rsidP="00000000" w:rsidRDefault="00000000" w:rsidRPr="00000000" w14:paraId="0000009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1452</w:t>
            </w:r>
          </w:p>
        </w:tc>
      </w:tr>
      <w:tr>
        <w:trPr>
          <w:cantSplit w:val="0"/>
          <w:trHeight w:val="289" w:hRule="atLeast"/>
          <w:tblHeader w:val="0"/>
        </w:trPr>
        <w:tc>
          <w:tcPr/>
          <w:p w:rsidR="00000000" w:rsidDel="00000000" w:rsidP="00000000" w:rsidRDefault="00000000" w:rsidRPr="00000000" w14:paraId="0000009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ACK10</w:t>
            </w:r>
          </w:p>
        </w:tc>
        <w:tc>
          <w:tcPr/>
          <w:p w:rsidR="00000000" w:rsidDel="00000000" w:rsidP="00000000" w:rsidRDefault="00000000" w:rsidRPr="00000000" w14:paraId="0000009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12261</w:t>
            </w:r>
          </w:p>
        </w:tc>
        <w:tc>
          <w:tcPr/>
          <w:p w:rsidR="00000000" w:rsidDel="00000000" w:rsidP="00000000" w:rsidRDefault="00000000" w:rsidRPr="00000000" w14:paraId="0000009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1452</w:t>
            </w:r>
          </w:p>
        </w:tc>
      </w:tr>
    </w:tbl>
    <w:p w:rsidR="00000000" w:rsidDel="00000000" w:rsidP="00000000" w:rsidRDefault="00000000" w:rsidRPr="00000000" w14:paraId="00000095">
      <w:pPr>
        <w:spacing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225800"/>
            <wp:effectExtent b="25400" l="25400" r="25400" t="25400"/>
            <wp:docPr id="4"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1200" cy="3225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7">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numPr>
          <w:ilvl w:val="0"/>
          <w:numId w:val="1"/>
        </w:numPr>
        <w:spacing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visualization that we obtained from Time-Sequence(stevens) graph is:</w:t>
      </w:r>
    </w:p>
    <w:p w:rsidR="00000000" w:rsidDel="00000000" w:rsidP="00000000" w:rsidRDefault="00000000" w:rsidRPr="00000000" w14:paraId="000000A6">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225800"/>
            <wp:effectExtent b="0" l="0" r="0" t="0"/>
            <wp:docPr id="7"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slow start of the TCP seems to begin at about 2.6 seconds and then ends at about 2.8 seconds. Congestion avoidance takes over at about 3.2 seconds because it cut down the amount being sent:</w:t>
      </w:r>
    </w:p>
    <w:p w:rsidR="00000000" w:rsidDel="00000000" w:rsidP="00000000" w:rsidRDefault="00000000" w:rsidRPr="00000000" w14:paraId="000000AA">
      <w:pPr>
        <w:spacing w:line="240" w:lineRule="auto"/>
        <w:ind w:left="720" w:firstLine="0"/>
        <w:rPr>
          <w:rFonts w:ascii="Times New Roman" w:cs="Times New Roman" w:eastAsia="Times New Roman" w:hAnsi="Times New Roman"/>
        </w:rPr>
      </w:pPr>
      <w:r w:rsidDel="00000000" w:rsidR="00000000" w:rsidRPr="00000000">
        <w:rPr>
          <w:rtl w:val="0"/>
        </w:rPr>
      </w:r>
    </w:p>
    <w:tbl>
      <w:tblPr>
        <w:tblStyle w:val="Table2"/>
        <w:tblW w:w="7910.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61"/>
        <w:gridCol w:w="2410"/>
        <w:gridCol w:w="2539"/>
        <w:tblGridChange w:id="0">
          <w:tblGrid>
            <w:gridCol w:w="2961"/>
            <w:gridCol w:w="2410"/>
            <w:gridCol w:w="2539"/>
          </w:tblGrid>
        </w:tblGridChange>
      </w:tblGrid>
      <w:tr>
        <w:trPr>
          <w:cantSplit w:val="0"/>
          <w:tblHeader w:val="0"/>
        </w:trPr>
        <w:tc>
          <w:tcPr/>
          <w:p w:rsidR="00000000" w:rsidDel="00000000" w:rsidP="00000000" w:rsidRDefault="00000000" w:rsidRPr="00000000" w14:paraId="000000AB">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Phase</w:t>
            </w:r>
          </w:p>
        </w:tc>
        <w:tc>
          <w:tcPr/>
          <w:p w:rsidR="00000000" w:rsidDel="00000000" w:rsidP="00000000" w:rsidRDefault="00000000" w:rsidRPr="00000000" w14:paraId="000000AC">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Strating (Approx)</w:t>
            </w:r>
          </w:p>
        </w:tc>
        <w:tc>
          <w:tcPr/>
          <w:p w:rsidR="00000000" w:rsidDel="00000000" w:rsidP="00000000" w:rsidRDefault="00000000" w:rsidRPr="00000000" w14:paraId="000000AD">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Ending (Approx)</w:t>
            </w:r>
          </w:p>
        </w:tc>
      </w:tr>
      <w:tr>
        <w:trPr>
          <w:cantSplit w:val="0"/>
          <w:tblHeader w:val="0"/>
        </w:trPr>
        <w:tc>
          <w:tcPr/>
          <w:p w:rsidR="00000000" w:rsidDel="00000000" w:rsidP="00000000" w:rsidRDefault="00000000" w:rsidRPr="00000000" w14:paraId="000000AE">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Slow start phase</w:t>
            </w:r>
          </w:p>
        </w:tc>
        <w:tc>
          <w:tcPr/>
          <w:p w:rsidR="00000000" w:rsidDel="00000000" w:rsidP="00000000" w:rsidRDefault="00000000" w:rsidRPr="00000000" w14:paraId="000000A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 s</w:t>
            </w:r>
          </w:p>
        </w:tc>
        <w:tc>
          <w:tcPr/>
          <w:p w:rsidR="00000000" w:rsidDel="00000000" w:rsidP="00000000" w:rsidRDefault="00000000" w:rsidRPr="00000000" w14:paraId="000000B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 s</w:t>
            </w:r>
          </w:p>
        </w:tc>
      </w:tr>
      <w:tr>
        <w:trPr>
          <w:cantSplit w:val="0"/>
          <w:tblHeader w:val="0"/>
        </w:trPr>
        <w:tc>
          <w:tcPr/>
          <w:p w:rsidR="00000000" w:rsidDel="00000000" w:rsidP="00000000" w:rsidRDefault="00000000" w:rsidRPr="00000000" w14:paraId="000000B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Congestion avoidance phase</w:t>
            </w:r>
          </w:p>
        </w:tc>
        <w:tc>
          <w:tcPr/>
          <w:p w:rsidR="00000000" w:rsidDel="00000000" w:rsidP="00000000" w:rsidRDefault="00000000" w:rsidRPr="00000000" w14:paraId="000000B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 s</w:t>
            </w:r>
          </w:p>
        </w:tc>
        <w:tc>
          <w:tcPr/>
          <w:p w:rsidR="00000000" w:rsidDel="00000000" w:rsidP="00000000" w:rsidRDefault="00000000" w:rsidRPr="00000000" w14:paraId="000000B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w:t>
            </w:r>
          </w:p>
        </w:tc>
      </w:tr>
    </w:tbl>
    <w:p w:rsidR="00000000" w:rsidDel="00000000" w:rsidP="00000000" w:rsidRDefault="00000000" w:rsidRPr="00000000" w14:paraId="000000B4">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fleet of segments appears consistently at regular intervals for a few seconds, then starts increasing again. </w:t>
      </w:r>
    </w:p>
    <w:p w:rsidR="00000000" w:rsidDel="00000000" w:rsidP="00000000" w:rsidRDefault="00000000" w:rsidRPr="00000000" w14:paraId="000000B6">
      <w:pPr>
        <w:spacing w:line="240" w:lineRule="auto"/>
        <w:jc w:val="center"/>
        <w:rPr>
          <w:rFonts w:ascii="Times New Roman" w:cs="Times New Roman" w:eastAsia="Times New Roman" w:hAnsi="Times New Roman"/>
        </w:rPr>
      </w:pPr>
      <w:r w:rsidDel="00000000" w:rsidR="00000000" w:rsidRPr="00000000">
        <w:rPr>
          <w:rtl w:val="0"/>
        </w:rPr>
      </w:r>
    </w:p>
    <w:sectPr>
      <w:footerReference r:id="rId1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7">
    <w:pPr>
      <w:jc w:val="center"/>
      <w:rPr>
        <w:b w:val="1"/>
        <w:sz w:val="24"/>
        <w:szCs w:val="24"/>
      </w:rPr>
    </w:pPr>
    <w:r w:rsidDel="00000000" w:rsidR="00000000" w:rsidRPr="00000000">
      <w:rPr>
        <w:b w:val="1"/>
        <w:sz w:val="24"/>
        <w:szCs w:val="24"/>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10.png"/><Relationship Id="rId13" Type="http://schemas.openxmlformats.org/officeDocument/2006/relationships/image" Target="media/image12.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png"/><Relationship Id="rId14" Type="http://schemas.openxmlformats.org/officeDocument/2006/relationships/image" Target="media/image7.png"/><Relationship Id="rId17" Type="http://schemas.openxmlformats.org/officeDocument/2006/relationships/footer" Target="footer1.xml"/><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1.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