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TERNA ENGINEERING COLLEGE, NERUL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Department of Computer Engineering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Play" w:cs="Play" w:eastAsia="Play" w:hAnsi="Play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Cryptography and System Security (CSS)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7030a0"/>
          <w:sz w:val="28"/>
          <w:szCs w:val="28"/>
          <w:u w:val="single"/>
          <w:shd w:fill="auto" w:val="clear"/>
          <w:vertAlign w:val="baseline"/>
          <w:rtl w:val="0"/>
        </w:rPr>
        <w:t xml:space="preserve">Assignment No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7725"/>
        <w:gridCol w:w="1605"/>
        <w:tblGridChange w:id="0">
          <w:tblGrid>
            <w:gridCol w:w="660"/>
            <w:gridCol w:w="7725"/>
            <w:gridCol w:w="1605"/>
          </w:tblGrid>
        </w:tblGridChange>
      </w:tblGrid>
      <w:tr>
        <w:trPr>
          <w:trHeight w:val="413" w:hRule="atLeast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Sr. No.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Question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 -mapped</w:t>
            </w:r>
          </w:p>
        </w:tc>
      </w:tr>
      <w:tr>
        <w:trPr>
          <w:trHeight w:val="435" w:hRule="atLeast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Q. 1 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DefineMD5, SHA1, MAC,HMAC,CMAC. 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(CO-4)</w:t>
            </w:r>
          </w:p>
        </w:tc>
      </w:tr>
      <w:tr>
        <w:trPr>
          <w:trHeight w:val="615.36" w:hRule="atLeast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Q. 2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X.509, Needham Schroeder /Kerberos Authentication with example. 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(CO-4)</w:t>
            </w:r>
          </w:p>
        </w:tc>
      </w:tr>
      <w:tr>
        <w:trPr>
          <w:trHeight w:val="555" w:hRule="atLeast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Q. 3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with  ICMP flood, SYN flood, UDP flood, DDoS example.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(CO-5)</w:t>
            </w:r>
          </w:p>
        </w:tc>
      </w:tr>
      <w:tr>
        <w:trPr>
          <w:trHeight w:val="530" w:hRule="atLeast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Q. 4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the SSL, IPSEC, PGP, IDS, Honey pot</w:t>
            </w: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(CO-5)</w:t>
            </w:r>
          </w:p>
        </w:tc>
      </w:tr>
      <w:tr>
        <w:trPr>
          <w:trHeight w:val="675" w:hRule="atLeast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Q. 5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in brief Software Vulnerabilities such as Buffer Overflow, Format String, cross-site scripting</w:t>
            </w:r>
            <w:r w:rsidDel="00000000" w:rsidR="00000000" w:rsidRPr="00000000">
              <w:rPr>
                <w:rFonts w:ascii="Play" w:cs="Play" w:eastAsia="Play" w:hAnsi="Play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(CO-6)</w:t>
            </w:r>
          </w:p>
        </w:tc>
      </w:tr>
      <w:tr>
        <w:trPr>
          <w:trHeight w:val="350" w:hRule="atLeast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Q. 6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SQL injection, Logic bomb Rootkits algorithm with an example.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(CO-6)</w:t>
            </w:r>
          </w:p>
        </w:tc>
      </w:tr>
    </w:tbl>
    <w:p w:rsidR="00000000" w:rsidDel="00000000" w:rsidP="00000000" w:rsidRDefault="00000000" w:rsidRPr="00000000" w14:paraId="0000001D">
      <w:pPr>
        <w:jc w:val="left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077.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Play" w:cs="Play" w:eastAsia="Play" w:hAnsi="Play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40"/>
                <w:szCs w:val="40"/>
                <w:rtl w:val="0"/>
              </w:rPr>
              <w:t xml:space="preserve">CSS ASSIGNMENT - 2</w:t>
            </w:r>
          </w:p>
        </w:tc>
      </w:tr>
      <w:tr>
        <w:trPr>
          <w:trHeight w:val="607.680000000000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Play" w:cs="Play" w:eastAsia="Play" w:hAnsi="Play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32"/>
                <w:szCs w:val="32"/>
                <w:rtl w:val="0"/>
              </w:rPr>
              <w:t xml:space="preserve">AMEY THAKUR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Play" w:cs="Play" w:eastAsia="Play" w:hAnsi="Play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32"/>
                <w:szCs w:val="32"/>
                <w:rtl w:val="0"/>
              </w:rPr>
              <w:t xml:space="preserve">COMPS TE B-50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Play" w:cs="Play" w:eastAsia="Play" w:hAnsi="Play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40"/>
                <w:szCs w:val="40"/>
              </w:rPr>
              <w:drawing>
                <wp:inline distB="114300" distT="114300" distL="114300" distR="114300">
                  <wp:extent cx="1905000" cy="847725"/>
                  <wp:effectExtent b="25400" l="25400" r="25400" t="254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847725"/>
                          </a:xfrm>
                          <a:prstGeom prst="rect"/>
                          <a:ln w="254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jc w:val="left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