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TERNA ENGINEERING COLLEGE, NERUL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Cryptography and System Security (CSS)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7030a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7030a0"/>
          <w:sz w:val="28"/>
          <w:szCs w:val="28"/>
          <w:u w:val="single"/>
          <w:shd w:fill="auto" w:val="clear"/>
          <w:vertAlign w:val="baseline"/>
          <w:rtl w:val="0"/>
        </w:rPr>
        <w:t xml:space="preserve">Assignment No 3 (Beyond </w:t>
      </w:r>
      <w:r w:rsidDel="00000000" w:rsidR="00000000" w:rsidRPr="00000000">
        <w:rPr>
          <w:rFonts w:ascii="Play" w:cs="Play" w:eastAsia="Play" w:hAnsi="Play"/>
          <w:b w:val="1"/>
          <w:color w:val="7030a0"/>
          <w:sz w:val="28"/>
          <w:szCs w:val="28"/>
          <w:u w:val="single"/>
          <w:rtl w:val="0"/>
        </w:rPr>
        <w:t xml:space="preserve">Syllabus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7030a0"/>
          <w:sz w:val="28"/>
          <w:szCs w:val="28"/>
          <w:u w:val="single"/>
          <w:shd w:fill="auto" w:val="clear"/>
          <w:vertAlign w:val="baseline"/>
          <w:rtl w:val="0"/>
        </w:rPr>
        <w:t xml:space="preserve"> To fill Curriculum Gap)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7372"/>
        <w:tblGridChange w:id="0">
          <w:tblGrid>
            <w:gridCol w:w="895"/>
            <w:gridCol w:w="7372"/>
          </w:tblGrid>
        </w:tblGridChange>
      </w:tblGrid>
      <w:tr>
        <w:trPr>
          <w:trHeight w:val="413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1 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Internet Key Exchange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2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Describe</w:t>
            </w: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Biometric performed using various techniques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3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concept of ZERO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KNOWLEDGE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left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77.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Play" w:cs="Play" w:eastAsia="Play" w:hAnsi="Play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40"/>
                <w:szCs w:val="40"/>
                <w:rtl w:val="0"/>
              </w:rPr>
              <w:t xml:space="preserve">CSS ASSIGNMENT - 3</w:t>
            </w:r>
          </w:p>
        </w:tc>
      </w:tr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Play" w:cs="Play" w:eastAsia="Play" w:hAnsi="Play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32"/>
                <w:szCs w:val="32"/>
                <w:rtl w:val="0"/>
              </w:rPr>
              <w:t xml:space="preserve">AMEY THAKUR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Play" w:cs="Play" w:eastAsia="Play" w:hAnsi="Play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32"/>
                <w:szCs w:val="32"/>
                <w:rtl w:val="0"/>
              </w:rPr>
              <w:t xml:space="preserve">COMPS TE B-50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Play" w:cs="Play" w:eastAsia="Play" w:hAnsi="Play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40"/>
                <w:szCs w:val="40"/>
              </w:rPr>
              <w:drawing>
                <wp:inline distB="114300" distT="114300" distL="114300" distR="114300">
                  <wp:extent cx="1905000" cy="847725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4772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