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  <w:rtl w:val="0"/>
        </w:rPr>
        <w:t xml:space="preserve">PRACTICE TEST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CSS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COURSE: T.E.  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SUBJECT CODE: CSC604                                                  SUBMISSION DATE: 14/05/2021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PRACTICE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925"/>
        <w:tblGridChange w:id="0">
          <w:tblGrid>
            <w:gridCol w:w="720"/>
            <w:gridCol w:w="8925"/>
          </w:tblGrid>
        </w:tblGridChange>
      </w:tblGrid>
      <w:tr>
        <w:trPr>
          <w:trHeight w:val="707.343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(Solve any 5)</w:t>
            </w:r>
          </w:p>
        </w:tc>
      </w:tr>
      <w:tr>
        <w:trPr>
          <w:trHeight w:val="730.3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following Symmetric cipher methods: Playfair cipher, vigenere cipher, hill cipher.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What is the purpose of the S-boxes in DES? Discuss the design details of s-box.</w:t>
            </w:r>
          </w:p>
        </w:tc>
      </w:tr>
      <w:tr>
        <w:trPr>
          <w:trHeight w:val="655.3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color w:val="222222"/>
                <w:sz w:val="24"/>
                <w:szCs w:val="24"/>
                <w:rtl w:val="0"/>
              </w:rPr>
              <w:t xml:space="preserve">Explain the various ways to calculate Modular Multiplicative Inverse: E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xtended Euclidean Algorithm, Fermat's Theorem, Euler's Theorem.</w:t>
            </w:r>
          </w:p>
        </w:tc>
      </w:tr>
      <w:tr>
        <w:trPr>
          <w:trHeight w:val="42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Define Kerberos and name its servers. Briefly explain the duties of each.</w:t>
            </w:r>
          </w:p>
        </w:tc>
      </w:tr>
      <w:tr>
        <w:trPr>
          <w:trHeight w:val="805.3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following targeted malicious attack: Trojan, trapdoor, backdoor, rootkit, salami attack, a man in the middle, covert channel.</w:t>
            </w:r>
          </w:p>
        </w:tc>
      </w:tr>
      <w:tr>
        <w:trPr>
          <w:trHeight w:val="227.67999999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different types of firewalls.</w:t>
            </w:r>
          </w:p>
        </w:tc>
      </w:tr>
      <w:tr>
        <w:trPr>
          <w:trHeight w:val="33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Describe SSL with its types.</w:t>
            </w:r>
          </w:p>
        </w:tc>
      </w:tr>
      <w:tr>
        <w:trPr>
          <w:trHeight w:val="257.67999999999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Which services are provided by IPSec?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  <w:sz w:val="2"/>
          <w:szCs w:val="2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485900" cy="51733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830" l="0" r="0" t="684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73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