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 warehouse and its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 warehouse vs Datamart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Metadata and its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 warehouse design approaches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Fact table &amp; Factless fact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ETL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ETL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Association rule mining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Multilevel association 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Multidimensional association 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 mining &amp; KDD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KDD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Clustering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K-menas Clustering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DWM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