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4508659</wp:posOffset>
            </wp:positionH>
            <wp:positionV relativeFrom="page">
              <wp:posOffset>914400</wp:posOffset>
            </wp:positionV>
            <wp:extent cx="2131093" cy="13001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093" cy="1300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Phases of a project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Initiation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Planning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Implementation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Closing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Initiation phase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sponsor is identified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Scope and deliverables are defined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Relationship to organizational goals is key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Budget is approved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Broad statements are made about risks, approaches, timelines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Stakeholders are identified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Manager is assigned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At the end of a phase, an approved project charter is the approval to proceed to the planning phase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Planning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Deliverables are clearly defined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Based on the deliverables, a work breakdown structure or WBS defines the “work packages”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work packages are used to develop a schedule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Plans are made for the management of stakeholders, communication, quality, costs, risks, procurement, and resources including human resources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Implementation (Execution) Phase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project team is hired and developed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Procurements take place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work is underway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must be monitored and changes managed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Communication with stakeholders is an important ongoing activity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Closing phase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Reporting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Closing out procurements—final payments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Identify lessons learned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Celebrate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Summary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Phases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Initiation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Planning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Implementation (Execution)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Closing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3 - The Project Life Cycle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3 - The Project Life Cycle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