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ENGINEERING DEPARTMENT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6982421875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.079999923706055"/>
          <w:szCs w:val="28.079999923706055"/>
          <w:rtl w:val="0"/>
        </w:rPr>
        <w:t xml:space="preserve">MCC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Assignment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76" w:lineRule="auto"/>
        <w:ind w:left="3.84002685546875" w:right="32.239990234375" w:firstLine="2.87994384765625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EMESTER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ASSIGNMENT: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22-1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799987792969" w:type="dxa"/>
        <w:jc w:val="left"/>
        <w:tblInd w:w="107.20001220703125" w:type="dxa"/>
        <w:tblLayout w:type="fixed"/>
        <w:tblLook w:val="0600"/>
      </w:tblPr>
      <w:tblGrid>
        <w:gridCol w:w="4527.899993896484"/>
        <w:gridCol w:w="4527.899993896484"/>
        <w:tblGridChange w:id="0">
          <w:tblGrid>
            <w:gridCol w:w="4527.899993896484"/>
            <w:gridCol w:w="4527.899993896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ROLL NO.: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COMPS BE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22-10-2021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0" w:right="32.48046875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265"/>
        <w:tblGridChange w:id="0">
          <w:tblGrid>
            <w:gridCol w:w="960"/>
            <w:gridCol w:w="826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Draw and explain the electromagnetic spectrum for communication.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Why is a mobile IP packet is required to be forwarded through a tunnel? Explain minimal techniques of encapsulation of Mobile IP.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Compare WCDMA and CDMA2000.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Play" w:cs="Play" w:eastAsia="Play" w:hAnsi="Pla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1316727" cy="58312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27" cy="5831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Signature of Student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20" w:w="11900" w:orient="portrait"/>
      <w:pgMar w:bottom="1910.8799743652344" w:top="1420.802001953125" w:left="1440.4798889160156" w:right="1397.19970703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