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our ideas in our own words and where others' ideas or words have been included, we have adequately cited and referenced The cartoon sources task-specific.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00.0" w:type="dxa"/>
        <w:jc w:val="left"/>
        <w:tblInd w:w="715.0" w:type="dxa"/>
        <w:tblLayout w:type="fixed"/>
        <w:tblLook w:val="0600"/>
      </w:tblPr>
      <w:tblGrid>
        <w:gridCol w:w="4200"/>
        <w:gridCol w:w="4200"/>
        <w:tblGridChange w:id="0">
          <w:tblGrid>
            <w:gridCol w:w="4200"/>
            <w:gridCol w:w="420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AJAY RAMESH DAVARE</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TU3F1718006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tc>
      </w:tr>
    </w:tbl>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