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Declaration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declare that this written submission represents our ideas in our own words and where others' ideas or words have been included, we have adequately cited and referenced The cartoon sources task-specific.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8400.0" w:type="dxa"/>
        <w:jc w:val="left"/>
        <w:tblInd w:w="715.0" w:type="dxa"/>
        <w:tblLayout w:type="fixed"/>
        <w:tblLook w:val="0600"/>
      </w:tblPr>
      <w:tblGrid>
        <w:gridCol w:w="4200"/>
        <w:gridCol w:w="4200"/>
        <w:tblGridChange w:id="0">
          <w:tblGrid>
            <w:gridCol w:w="4200"/>
            <w:gridCol w:w="4200"/>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AMEY MAHENDRA THAKUR</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 TU3F1819127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w:t>
            </w:r>
          </w:p>
        </w:tc>
      </w:tr>
    </w:tbl>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