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38BAC966"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1753EA">
        <w:t>April</w:t>
      </w:r>
      <w:r w:rsidR="00FD347F">
        <w:t xml:space="preserve"> </w:t>
      </w:r>
      <w:r w:rsidR="001753EA">
        <w:t>2013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18871B81"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tgtFrame="_blank" w:history="1">
        <w:r w:rsidR="00441C76" w:rsidRPr="00166467">
          <w:rPr>
            <w:rStyle w:val="Hyperlink"/>
            <w:color w:val="1155CC"/>
            <w:sz w:val="19"/>
            <w:szCs w:val="19"/>
            <w:shd w:val="clear" w:color="auto" w:fill="FFFFFF"/>
          </w:rPr>
          <w:t>http://www.ieee.org/documents/taxonomy_v101.pdf</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06F4CDD3" w:rsidR="00E97402" w:rsidRDefault="00E97402">
      <w:pPr>
        <w:pStyle w:val="Text"/>
        <w:ind w:firstLine="0"/>
      </w:pPr>
      <w:r>
        <w:rPr>
          <w:smallCaps/>
        </w:rPr>
        <w:t>HIS</w:t>
      </w:r>
      <w:r>
        <w:t xml:space="preserve"> </w:t>
      </w:r>
      <w:r w:rsidR="001753EA">
        <w:t>DOCUMENT</w:t>
      </w:r>
      <w:r>
        <w:t xml:space="preserve">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xml:space="preserve">” or “webers per square meter,” not </w:t>
      </w:r>
      <w:r>
        <w:lastRenderedPageBreak/>
        <w:t>“webers/m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3" o:title=""/>
          </v:shape>
          <o:OLEObject Type="Embed" ProgID="Equation.3" ShapeID="_x0000_i1025" DrawAspect="Content" ObjectID="_1594565068" r:id="rId14"/>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Italicize </w:t>
      </w:r>
      <w:r>
        <w:t>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val="en-CA" w:eastAsia="en-CA"/>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E965C5" w:rsidRDefault="00E965C5"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lang w:val="en-CA" w:eastAsia="en-CA"/>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E965C5" w:rsidRDefault="00E965C5" w:rsidP="00E97B99">
                            <w:pPr>
                              <w:pStyle w:val="TableTitle"/>
                            </w:pPr>
                            <w:r>
                              <w:t>TABLE I</w:t>
                            </w:r>
                          </w:p>
                          <w:p w14:paraId="260385CA" w14:textId="77777777" w:rsidR="00E965C5" w:rsidRDefault="00E965C5"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965C5"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965C5" w:rsidRDefault="00E965C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965C5" w:rsidRDefault="00E965C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965C5" w:rsidRDefault="00E965C5">
                                  <w:pPr>
                                    <w:jc w:val="center"/>
                                    <w:rPr>
                                      <w:sz w:val="16"/>
                                      <w:szCs w:val="16"/>
                                    </w:rPr>
                                  </w:pPr>
                                  <w:r>
                                    <w:rPr>
                                      <w:sz w:val="16"/>
                                      <w:szCs w:val="16"/>
                                    </w:rPr>
                                    <w:t>Conversion from Gaussian and</w:t>
                                  </w:r>
                                </w:p>
                                <w:p w14:paraId="78370C6A" w14:textId="77777777" w:rsidR="00E965C5" w:rsidRDefault="00E965C5">
                                  <w:pPr>
                                    <w:jc w:val="center"/>
                                    <w:rPr>
                                      <w:sz w:val="16"/>
                                      <w:szCs w:val="16"/>
                                    </w:rPr>
                                  </w:pPr>
                                  <w:r>
                                    <w:rPr>
                                      <w:sz w:val="16"/>
                                      <w:szCs w:val="16"/>
                                    </w:rPr>
                                    <w:t xml:space="preserve">CGS EMU to SI </w:t>
                                  </w:r>
                                  <w:r>
                                    <w:rPr>
                                      <w:sz w:val="16"/>
                                      <w:szCs w:val="16"/>
                                      <w:vertAlign w:val="superscript"/>
                                    </w:rPr>
                                    <w:t>a</w:t>
                                  </w:r>
                                </w:p>
                              </w:tc>
                            </w:tr>
                            <w:tr w:rsidR="00E965C5" w14:paraId="56254485" w14:textId="77777777">
                              <w:tc>
                                <w:tcPr>
                                  <w:tcW w:w="720" w:type="dxa"/>
                                  <w:tcBorders>
                                    <w:top w:val="nil"/>
                                    <w:left w:val="nil"/>
                                    <w:bottom w:val="nil"/>
                                    <w:right w:val="nil"/>
                                  </w:tcBorders>
                                </w:tcPr>
                                <w:p w14:paraId="3901A0F8" w14:textId="77777777" w:rsidR="00E965C5" w:rsidRDefault="00E965C5">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965C5" w:rsidRDefault="00E965C5">
                                  <w:pPr>
                                    <w:rPr>
                                      <w:sz w:val="16"/>
                                      <w:szCs w:val="16"/>
                                    </w:rPr>
                                  </w:pPr>
                                  <w:r>
                                    <w:rPr>
                                      <w:sz w:val="16"/>
                                      <w:szCs w:val="16"/>
                                    </w:rPr>
                                    <w:t>magnetic flux</w:t>
                                  </w:r>
                                </w:p>
                              </w:tc>
                              <w:tc>
                                <w:tcPr>
                                  <w:tcW w:w="2610" w:type="dxa"/>
                                  <w:tcBorders>
                                    <w:top w:val="nil"/>
                                    <w:left w:val="nil"/>
                                    <w:bottom w:val="nil"/>
                                    <w:right w:val="nil"/>
                                  </w:tcBorders>
                                </w:tcPr>
                                <w:p w14:paraId="3CC46A0D" w14:textId="77777777" w:rsidR="00E965C5" w:rsidRDefault="00E965C5">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965C5" w14:paraId="0236D4E6" w14:textId="77777777">
                              <w:tc>
                                <w:tcPr>
                                  <w:tcW w:w="720" w:type="dxa"/>
                                  <w:tcBorders>
                                    <w:top w:val="nil"/>
                                    <w:left w:val="nil"/>
                                    <w:bottom w:val="nil"/>
                                    <w:right w:val="nil"/>
                                  </w:tcBorders>
                                </w:tcPr>
                                <w:p w14:paraId="6EC28D50" w14:textId="77777777" w:rsidR="00E965C5" w:rsidRDefault="00E965C5">
                                  <w:pPr>
                                    <w:rPr>
                                      <w:i/>
                                      <w:iCs/>
                                      <w:sz w:val="16"/>
                                      <w:szCs w:val="16"/>
                                    </w:rPr>
                                  </w:pPr>
                                  <w:r>
                                    <w:rPr>
                                      <w:i/>
                                      <w:iCs/>
                                      <w:sz w:val="16"/>
                                      <w:szCs w:val="16"/>
                                    </w:rPr>
                                    <w:t>B</w:t>
                                  </w:r>
                                </w:p>
                              </w:tc>
                              <w:tc>
                                <w:tcPr>
                                  <w:tcW w:w="1710" w:type="dxa"/>
                                  <w:tcBorders>
                                    <w:top w:val="nil"/>
                                    <w:left w:val="nil"/>
                                    <w:bottom w:val="nil"/>
                                    <w:right w:val="nil"/>
                                  </w:tcBorders>
                                </w:tcPr>
                                <w:p w14:paraId="38B41E97" w14:textId="77777777" w:rsidR="00E965C5" w:rsidRDefault="00E965C5">
                                  <w:pPr>
                                    <w:rPr>
                                      <w:sz w:val="16"/>
                                      <w:szCs w:val="16"/>
                                    </w:rPr>
                                  </w:pPr>
                                  <w:r>
                                    <w:rPr>
                                      <w:sz w:val="16"/>
                                      <w:szCs w:val="16"/>
                                    </w:rPr>
                                    <w:t xml:space="preserve">magnetic flux density, </w:t>
                                  </w:r>
                                </w:p>
                                <w:p w14:paraId="71064950" w14:textId="77777777" w:rsidR="00E965C5" w:rsidRDefault="00E965C5">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965C5" w:rsidRDefault="00E965C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965C5" w14:paraId="07E6B477" w14:textId="77777777">
                              <w:tc>
                                <w:tcPr>
                                  <w:tcW w:w="720" w:type="dxa"/>
                                  <w:tcBorders>
                                    <w:top w:val="nil"/>
                                    <w:left w:val="nil"/>
                                    <w:bottom w:val="nil"/>
                                    <w:right w:val="nil"/>
                                  </w:tcBorders>
                                </w:tcPr>
                                <w:p w14:paraId="0C922F8F" w14:textId="77777777" w:rsidR="00E965C5" w:rsidRDefault="00E965C5">
                                  <w:pPr>
                                    <w:rPr>
                                      <w:i/>
                                      <w:iCs/>
                                      <w:sz w:val="16"/>
                                      <w:szCs w:val="16"/>
                                    </w:rPr>
                                  </w:pPr>
                                  <w:r>
                                    <w:rPr>
                                      <w:i/>
                                      <w:iCs/>
                                      <w:sz w:val="16"/>
                                      <w:szCs w:val="16"/>
                                    </w:rPr>
                                    <w:t>H</w:t>
                                  </w:r>
                                </w:p>
                              </w:tc>
                              <w:tc>
                                <w:tcPr>
                                  <w:tcW w:w="1710" w:type="dxa"/>
                                  <w:tcBorders>
                                    <w:top w:val="nil"/>
                                    <w:left w:val="nil"/>
                                    <w:bottom w:val="nil"/>
                                    <w:right w:val="nil"/>
                                  </w:tcBorders>
                                </w:tcPr>
                                <w:p w14:paraId="5F3736AC" w14:textId="77777777" w:rsidR="00E965C5" w:rsidRDefault="00E965C5">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965C5" w:rsidRDefault="00E965C5">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7954DF7F" w14:textId="77777777">
                              <w:tc>
                                <w:tcPr>
                                  <w:tcW w:w="720" w:type="dxa"/>
                                  <w:tcBorders>
                                    <w:top w:val="nil"/>
                                    <w:left w:val="nil"/>
                                    <w:bottom w:val="nil"/>
                                    <w:right w:val="nil"/>
                                  </w:tcBorders>
                                </w:tcPr>
                                <w:p w14:paraId="38A5EB0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50377045" w14:textId="77777777" w:rsidR="00E965C5" w:rsidRDefault="00E965C5">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965C5" w:rsidRDefault="00E965C5">
                                  <w:pPr>
                                    <w:rPr>
                                      <w:sz w:val="16"/>
                                      <w:szCs w:val="16"/>
                                    </w:rPr>
                                  </w:pPr>
                                  <w:r>
                                    <w:rPr>
                                      <w:sz w:val="16"/>
                                      <w:szCs w:val="16"/>
                                    </w:rPr>
                                    <w:t xml:space="preserve">1 erg/G = 1 emu </w:t>
                                  </w:r>
                                </w:p>
                                <w:p w14:paraId="5EF85EAC"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65C5" w14:paraId="5EB70BD1" w14:textId="77777777">
                              <w:tc>
                                <w:tcPr>
                                  <w:tcW w:w="720" w:type="dxa"/>
                                  <w:tcBorders>
                                    <w:top w:val="nil"/>
                                    <w:left w:val="nil"/>
                                    <w:bottom w:val="nil"/>
                                    <w:right w:val="nil"/>
                                  </w:tcBorders>
                                </w:tcPr>
                                <w:p w14:paraId="480F045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03278675"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1E5DF718"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65C5" w14:paraId="1A937312" w14:textId="77777777">
                              <w:tc>
                                <w:tcPr>
                                  <w:tcW w:w="720" w:type="dxa"/>
                                  <w:tcBorders>
                                    <w:top w:val="nil"/>
                                    <w:left w:val="nil"/>
                                    <w:bottom w:val="nil"/>
                                    <w:right w:val="nil"/>
                                  </w:tcBorders>
                                </w:tcPr>
                                <w:p w14:paraId="2F4D3149" w14:textId="77777777" w:rsidR="00E965C5" w:rsidRDefault="00E965C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2827D141" w14:textId="77777777" w:rsidR="00E965C5" w:rsidRDefault="00E965C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53CAEFCB" w14:textId="77777777">
                              <w:tc>
                                <w:tcPr>
                                  <w:tcW w:w="720" w:type="dxa"/>
                                  <w:tcBorders>
                                    <w:top w:val="nil"/>
                                    <w:left w:val="nil"/>
                                    <w:bottom w:val="nil"/>
                                    <w:right w:val="nil"/>
                                  </w:tcBorders>
                                </w:tcPr>
                                <w:p w14:paraId="25B245D1" w14:textId="77777777" w:rsidR="00E965C5" w:rsidRDefault="00E965C5">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965C5" w:rsidRDefault="00E965C5">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965C5" w:rsidRDefault="00E965C5">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65C5" w14:paraId="543610FD" w14:textId="77777777">
                              <w:tc>
                                <w:tcPr>
                                  <w:tcW w:w="720" w:type="dxa"/>
                                  <w:tcBorders>
                                    <w:top w:val="nil"/>
                                    <w:left w:val="nil"/>
                                    <w:bottom w:val="nil"/>
                                    <w:right w:val="nil"/>
                                  </w:tcBorders>
                                </w:tcPr>
                                <w:p w14:paraId="2B5E221A"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554F13BD" w14:textId="77777777" w:rsidR="00E965C5" w:rsidRDefault="00E965C5">
                                  <w:pPr>
                                    <w:rPr>
                                      <w:sz w:val="16"/>
                                      <w:szCs w:val="16"/>
                                    </w:rPr>
                                  </w:pPr>
                                  <w:r>
                                    <w:rPr>
                                      <w:sz w:val="16"/>
                                      <w:szCs w:val="16"/>
                                    </w:rPr>
                                    <w:t xml:space="preserve">magnetic dipole </w:t>
                                  </w:r>
                                </w:p>
                                <w:p w14:paraId="55B520C3" w14:textId="77777777" w:rsidR="00E965C5" w:rsidRDefault="00E965C5">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965C5" w:rsidRDefault="00E965C5">
                                  <w:pPr>
                                    <w:rPr>
                                      <w:sz w:val="16"/>
                                      <w:szCs w:val="16"/>
                                    </w:rPr>
                                  </w:pPr>
                                  <w:r>
                                    <w:rPr>
                                      <w:sz w:val="16"/>
                                      <w:szCs w:val="16"/>
                                    </w:rPr>
                                    <w:t xml:space="preserve">1 erg/G = 1 emu </w:t>
                                  </w:r>
                                </w:p>
                                <w:p w14:paraId="1B959306"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965C5" w14:paraId="3D1AF801" w14:textId="77777777">
                              <w:tc>
                                <w:tcPr>
                                  <w:tcW w:w="720" w:type="dxa"/>
                                  <w:tcBorders>
                                    <w:top w:val="nil"/>
                                    <w:left w:val="nil"/>
                                    <w:bottom w:val="nil"/>
                                    <w:right w:val="nil"/>
                                  </w:tcBorders>
                                </w:tcPr>
                                <w:p w14:paraId="3936A283"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000544F3" w14:textId="77777777" w:rsidR="00E965C5" w:rsidRDefault="00E965C5">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65C5" w14:paraId="1D80299D" w14:textId="77777777">
                              <w:tc>
                                <w:tcPr>
                                  <w:tcW w:w="720" w:type="dxa"/>
                                  <w:tcBorders>
                                    <w:top w:val="nil"/>
                                    <w:left w:val="nil"/>
                                    <w:bottom w:val="nil"/>
                                    <w:right w:val="nil"/>
                                  </w:tcBorders>
                                </w:tcPr>
                                <w:p w14:paraId="4EA90266" w14:textId="77777777" w:rsidR="00E965C5" w:rsidRDefault="00E965C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965C5" w:rsidRDefault="00E965C5">
                                  <w:pPr>
                                    <w:rPr>
                                      <w:sz w:val="16"/>
                                      <w:szCs w:val="16"/>
                                    </w:rPr>
                                  </w:pPr>
                                  <w:r>
                                    <w:rPr>
                                      <w:sz w:val="16"/>
                                      <w:szCs w:val="16"/>
                                    </w:rPr>
                                    <w:t>susceptibility</w:t>
                                  </w:r>
                                </w:p>
                              </w:tc>
                              <w:tc>
                                <w:tcPr>
                                  <w:tcW w:w="2610" w:type="dxa"/>
                                  <w:tcBorders>
                                    <w:top w:val="nil"/>
                                    <w:left w:val="nil"/>
                                    <w:bottom w:val="nil"/>
                                    <w:right w:val="nil"/>
                                  </w:tcBorders>
                                </w:tcPr>
                                <w:p w14:paraId="28389385"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65C5" w14:paraId="1775A50D" w14:textId="77777777">
                              <w:tc>
                                <w:tcPr>
                                  <w:tcW w:w="720" w:type="dxa"/>
                                  <w:tcBorders>
                                    <w:top w:val="nil"/>
                                    <w:left w:val="nil"/>
                                    <w:bottom w:val="nil"/>
                                    <w:right w:val="nil"/>
                                  </w:tcBorders>
                                </w:tcPr>
                                <w:p w14:paraId="58C92CC6" w14:textId="77777777" w:rsidR="00E965C5" w:rsidRDefault="00E965C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965C5" w:rsidRDefault="00E965C5">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965C5" w:rsidRDefault="00E965C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65C5" w14:paraId="20E9BFC5" w14:textId="77777777">
                              <w:tc>
                                <w:tcPr>
                                  <w:tcW w:w="720" w:type="dxa"/>
                                  <w:tcBorders>
                                    <w:top w:val="nil"/>
                                    <w:left w:val="nil"/>
                                    <w:bottom w:val="nil"/>
                                    <w:right w:val="nil"/>
                                  </w:tcBorders>
                                </w:tcPr>
                                <w:p w14:paraId="1749A5F6" w14:textId="77777777" w:rsidR="00E965C5" w:rsidRDefault="00E965C5">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965C5" w:rsidRDefault="00E965C5">
                                  <w:pPr>
                                    <w:rPr>
                                      <w:sz w:val="16"/>
                                      <w:szCs w:val="16"/>
                                    </w:rPr>
                                  </w:pPr>
                                  <w:r>
                                    <w:rPr>
                                      <w:sz w:val="16"/>
                                      <w:szCs w:val="16"/>
                                    </w:rPr>
                                    <w:t>permeability</w:t>
                                  </w:r>
                                </w:p>
                              </w:tc>
                              <w:tc>
                                <w:tcPr>
                                  <w:tcW w:w="2610" w:type="dxa"/>
                                  <w:tcBorders>
                                    <w:top w:val="nil"/>
                                    <w:left w:val="nil"/>
                                    <w:bottom w:val="nil"/>
                                    <w:right w:val="nil"/>
                                  </w:tcBorders>
                                </w:tcPr>
                                <w:p w14:paraId="1D796761"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965C5" w:rsidRDefault="00E965C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965C5" w14:paraId="38EA3F7C" w14:textId="77777777">
                              <w:tc>
                                <w:tcPr>
                                  <w:tcW w:w="720" w:type="dxa"/>
                                  <w:tcBorders>
                                    <w:top w:val="nil"/>
                                    <w:left w:val="nil"/>
                                    <w:bottom w:val="nil"/>
                                    <w:right w:val="nil"/>
                                  </w:tcBorders>
                                </w:tcPr>
                                <w:p w14:paraId="426EB392" w14:textId="77777777" w:rsidR="00E965C5" w:rsidRDefault="00E965C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965C5" w:rsidRDefault="00E965C5">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965C5" w:rsidRDefault="00E965C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65C5" w14:paraId="48E4792A" w14:textId="77777777">
                              <w:tc>
                                <w:tcPr>
                                  <w:tcW w:w="720" w:type="dxa"/>
                                  <w:tcBorders>
                                    <w:top w:val="nil"/>
                                    <w:left w:val="nil"/>
                                    <w:bottom w:val="nil"/>
                                    <w:right w:val="nil"/>
                                  </w:tcBorders>
                                </w:tcPr>
                                <w:p w14:paraId="0D924A8C" w14:textId="77777777" w:rsidR="00E965C5" w:rsidRDefault="00E965C5">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965C5" w:rsidRDefault="00E965C5">
                                  <w:pPr>
                                    <w:rPr>
                                      <w:sz w:val="16"/>
                                      <w:szCs w:val="16"/>
                                    </w:rPr>
                                  </w:pPr>
                                  <w:r>
                                    <w:rPr>
                                      <w:sz w:val="16"/>
                                      <w:szCs w:val="16"/>
                                    </w:rPr>
                                    <w:t>energy density</w:t>
                                  </w:r>
                                </w:p>
                              </w:tc>
                              <w:tc>
                                <w:tcPr>
                                  <w:tcW w:w="2610" w:type="dxa"/>
                                  <w:tcBorders>
                                    <w:top w:val="nil"/>
                                    <w:left w:val="nil"/>
                                    <w:bottom w:val="nil"/>
                                    <w:right w:val="nil"/>
                                  </w:tcBorders>
                                </w:tcPr>
                                <w:p w14:paraId="5493E5D2" w14:textId="77777777" w:rsidR="00E965C5" w:rsidRDefault="00E965C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65C5" w14:paraId="2EB5CD47" w14:textId="77777777">
                              <w:trPr>
                                <w:trHeight w:val="279"/>
                              </w:trPr>
                              <w:tc>
                                <w:tcPr>
                                  <w:tcW w:w="720" w:type="dxa"/>
                                  <w:tcBorders>
                                    <w:top w:val="nil"/>
                                    <w:left w:val="nil"/>
                                    <w:bottom w:val="double" w:sz="6" w:space="0" w:color="auto"/>
                                    <w:right w:val="nil"/>
                                  </w:tcBorders>
                                </w:tcPr>
                                <w:p w14:paraId="00090BDD" w14:textId="77777777" w:rsidR="00E965C5" w:rsidRDefault="00E965C5">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965C5" w:rsidRDefault="00E965C5">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965C5" w:rsidRDefault="00E965C5" w:rsidP="00E97B99">
                            <w:pPr>
                              <w:pStyle w:val="FootnoteText"/>
                            </w:pPr>
                            <w:r>
                              <w:t xml:space="preserve">Vertical lines are optional in tables. Statements that serve as captions for the entire table do not need footnote letters. </w:t>
                            </w:r>
                          </w:p>
                          <w:p w14:paraId="436183EB" w14:textId="6AE5581F" w:rsidR="00E965C5" w:rsidRDefault="00E965C5"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E965C5" w:rsidRDefault="00E965C5" w:rsidP="00E97B99">
                            <w:pPr>
                              <w:pStyle w:val="FootnoteText"/>
                            </w:pPr>
                          </w:p>
                          <w:p w14:paraId="3E94A598" w14:textId="77777777" w:rsidR="00E965C5" w:rsidRDefault="00E965C5"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E965C5" w:rsidRDefault="00E965C5" w:rsidP="00E97B99">
                      <w:pPr>
                        <w:pStyle w:val="TableTitle"/>
                      </w:pPr>
                      <w:r>
                        <w:t>TABLE I</w:t>
                      </w:r>
                    </w:p>
                    <w:p w14:paraId="260385CA" w14:textId="77777777" w:rsidR="00E965C5" w:rsidRDefault="00E965C5"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965C5"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965C5" w:rsidRDefault="00E965C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965C5" w:rsidRDefault="00E965C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965C5" w:rsidRDefault="00E965C5">
                            <w:pPr>
                              <w:jc w:val="center"/>
                              <w:rPr>
                                <w:sz w:val="16"/>
                                <w:szCs w:val="16"/>
                              </w:rPr>
                            </w:pPr>
                            <w:r>
                              <w:rPr>
                                <w:sz w:val="16"/>
                                <w:szCs w:val="16"/>
                              </w:rPr>
                              <w:t>Conversion from Gaussian and</w:t>
                            </w:r>
                          </w:p>
                          <w:p w14:paraId="78370C6A" w14:textId="77777777" w:rsidR="00E965C5" w:rsidRDefault="00E965C5">
                            <w:pPr>
                              <w:jc w:val="center"/>
                              <w:rPr>
                                <w:sz w:val="16"/>
                                <w:szCs w:val="16"/>
                              </w:rPr>
                            </w:pPr>
                            <w:r>
                              <w:rPr>
                                <w:sz w:val="16"/>
                                <w:szCs w:val="16"/>
                              </w:rPr>
                              <w:t xml:space="preserve">CGS EMU to SI </w:t>
                            </w:r>
                            <w:r>
                              <w:rPr>
                                <w:sz w:val="16"/>
                                <w:szCs w:val="16"/>
                                <w:vertAlign w:val="superscript"/>
                              </w:rPr>
                              <w:t>a</w:t>
                            </w:r>
                          </w:p>
                        </w:tc>
                      </w:tr>
                      <w:tr w:rsidR="00E965C5" w14:paraId="56254485" w14:textId="77777777">
                        <w:tc>
                          <w:tcPr>
                            <w:tcW w:w="720" w:type="dxa"/>
                            <w:tcBorders>
                              <w:top w:val="nil"/>
                              <w:left w:val="nil"/>
                              <w:bottom w:val="nil"/>
                              <w:right w:val="nil"/>
                            </w:tcBorders>
                          </w:tcPr>
                          <w:p w14:paraId="3901A0F8" w14:textId="77777777" w:rsidR="00E965C5" w:rsidRDefault="00E965C5">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965C5" w:rsidRDefault="00E965C5">
                            <w:pPr>
                              <w:rPr>
                                <w:sz w:val="16"/>
                                <w:szCs w:val="16"/>
                              </w:rPr>
                            </w:pPr>
                            <w:r>
                              <w:rPr>
                                <w:sz w:val="16"/>
                                <w:szCs w:val="16"/>
                              </w:rPr>
                              <w:t>magnetic flux</w:t>
                            </w:r>
                          </w:p>
                        </w:tc>
                        <w:tc>
                          <w:tcPr>
                            <w:tcW w:w="2610" w:type="dxa"/>
                            <w:tcBorders>
                              <w:top w:val="nil"/>
                              <w:left w:val="nil"/>
                              <w:bottom w:val="nil"/>
                              <w:right w:val="nil"/>
                            </w:tcBorders>
                          </w:tcPr>
                          <w:p w14:paraId="3CC46A0D" w14:textId="77777777" w:rsidR="00E965C5" w:rsidRDefault="00E965C5">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965C5" w14:paraId="0236D4E6" w14:textId="77777777">
                        <w:tc>
                          <w:tcPr>
                            <w:tcW w:w="720" w:type="dxa"/>
                            <w:tcBorders>
                              <w:top w:val="nil"/>
                              <w:left w:val="nil"/>
                              <w:bottom w:val="nil"/>
                              <w:right w:val="nil"/>
                            </w:tcBorders>
                          </w:tcPr>
                          <w:p w14:paraId="6EC28D50" w14:textId="77777777" w:rsidR="00E965C5" w:rsidRDefault="00E965C5">
                            <w:pPr>
                              <w:rPr>
                                <w:i/>
                                <w:iCs/>
                                <w:sz w:val="16"/>
                                <w:szCs w:val="16"/>
                              </w:rPr>
                            </w:pPr>
                            <w:r>
                              <w:rPr>
                                <w:i/>
                                <w:iCs/>
                                <w:sz w:val="16"/>
                                <w:szCs w:val="16"/>
                              </w:rPr>
                              <w:t>B</w:t>
                            </w:r>
                          </w:p>
                        </w:tc>
                        <w:tc>
                          <w:tcPr>
                            <w:tcW w:w="1710" w:type="dxa"/>
                            <w:tcBorders>
                              <w:top w:val="nil"/>
                              <w:left w:val="nil"/>
                              <w:bottom w:val="nil"/>
                              <w:right w:val="nil"/>
                            </w:tcBorders>
                          </w:tcPr>
                          <w:p w14:paraId="38B41E97" w14:textId="77777777" w:rsidR="00E965C5" w:rsidRDefault="00E965C5">
                            <w:pPr>
                              <w:rPr>
                                <w:sz w:val="16"/>
                                <w:szCs w:val="16"/>
                              </w:rPr>
                            </w:pPr>
                            <w:r>
                              <w:rPr>
                                <w:sz w:val="16"/>
                                <w:szCs w:val="16"/>
                              </w:rPr>
                              <w:t xml:space="preserve">magnetic flux density, </w:t>
                            </w:r>
                          </w:p>
                          <w:p w14:paraId="71064950" w14:textId="77777777" w:rsidR="00E965C5" w:rsidRDefault="00E965C5">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965C5" w:rsidRDefault="00E965C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965C5" w14:paraId="07E6B477" w14:textId="77777777">
                        <w:tc>
                          <w:tcPr>
                            <w:tcW w:w="720" w:type="dxa"/>
                            <w:tcBorders>
                              <w:top w:val="nil"/>
                              <w:left w:val="nil"/>
                              <w:bottom w:val="nil"/>
                              <w:right w:val="nil"/>
                            </w:tcBorders>
                          </w:tcPr>
                          <w:p w14:paraId="0C922F8F" w14:textId="77777777" w:rsidR="00E965C5" w:rsidRDefault="00E965C5">
                            <w:pPr>
                              <w:rPr>
                                <w:i/>
                                <w:iCs/>
                                <w:sz w:val="16"/>
                                <w:szCs w:val="16"/>
                              </w:rPr>
                            </w:pPr>
                            <w:r>
                              <w:rPr>
                                <w:i/>
                                <w:iCs/>
                                <w:sz w:val="16"/>
                                <w:szCs w:val="16"/>
                              </w:rPr>
                              <w:t>H</w:t>
                            </w:r>
                          </w:p>
                        </w:tc>
                        <w:tc>
                          <w:tcPr>
                            <w:tcW w:w="1710" w:type="dxa"/>
                            <w:tcBorders>
                              <w:top w:val="nil"/>
                              <w:left w:val="nil"/>
                              <w:bottom w:val="nil"/>
                              <w:right w:val="nil"/>
                            </w:tcBorders>
                          </w:tcPr>
                          <w:p w14:paraId="5F3736AC" w14:textId="77777777" w:rsidR="00E965C5" w:rsidRDefault="00E965C5">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965C5" w:rsidRDefault="00E965C5">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7954DF7F" w14:textId="77777777">
                        <w:tc>
                          <w:tcPr>
                            <w:tcW w:w="720" w:type="dxa"/>
                            <w:tcBorders>
                              <w:top w:val="nil"/>
                              <w:left w:val="nil"/>
                              <w:bottom w:val="nil"/>
                              <w:right w:val="nil"/>
                            </w:tcBorders>
                          </w:tcPr>
                          <w:p w14:paraId="38A5EB0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50377045" w14:textId="77777777" w:rsidR="00E965C5" w:rsidRDefault="00E965C5">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965C5" w:rsidRDefault="00E965C5">
                            <w:pPr>
                              <w:rPr>
                                <w:sz w:val="16"/>
                                <w:szCs w:val="16"/>
                              </w:rPr>
                            </w:pPr>
                            <w:r>
                              <w:rPr>
                                <w:sz w:val="16"/>
                                <w:szCs w:val="16"/>
                              </w:rPr>
                              <w:t xml:space="preserve">1 erg/G = 1 emu </w:t>
                            </w:r>
                          </w:p>
                          <w:p w14:paraId="5EF85EAC"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65C5" w14:paraId="5EB70BD1" w14:textId="77777777">
                        <w:tc>
                          <w:tcPr>
                            <w:tcW w:w="720" w:type="dxa"/>
                            <w:tcBorders>
                              <w:top w:val="nil"/>
                              <w:left w:val="nil"/>
                              <w:bottom w:val="nil"/>
                              <w:right w:val="nil"/>
                            </w:tcBorders>
                          </w:tcPr>
                          <w:p w14:paraId="480F045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03278675"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1E5DF718"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65C5" w14:paraId="1A937312" w14:textId="77777777">
                        <w:tc>
                          <w:tcPr>
                            <w:tcW w:w="720" w:type="dxa"/>
                            <w:tcBorders>
                              <w:top w:val="nil"/>
                              <w:left w:val="nil"/>
                              <w:bottom w:val="nil"/>
                              <w:right w:val="nil"/>
                            </w:tcBorders>
                          </w:tcPr>
                          <w:p w14:paraId="2F4D3149" w14:textId="77777777" w:rsidR="00E965C5" w:rsidRDefault="00E965C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2827D141" w14:textId="77777777" w:rsidR="00E965C5" w:rsidRDefault="00E965C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53CAEFCB" w14:textId="77777777">
                        <w:tc>
                          <w:tcPr>
                            <w:tcW w:w="720" w:type="dxa"/>
                            <w:tcBorders>
                              <w:top w:val="nil"/>
                              <w:left w:val="nil"/>
                              <w:bottom w:val="nil"/>
                              <w:right w:val="nil"/>
                            </w:tcBorders>
                          </w:tcPr>
                          <w:p w14:paraId="25B245D1" w14:textId="77777777" w:rsidR="00E965C5" w:rsidRDefault="00E965C5">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965C5" w:rsidRDefault="00E965C5">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965C5" w:rsidRDefault="00E965C5">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65C5" w14:paraId="543610FD" w14:textId="77777777">
                        <w:tc>
                          <w:tcPr>
                            <w:tcW w:w="720" w:type="dxa"/>
                            <w:tcBorders>
                              <w:top w:val="nil"/>
                              <w:left w:val="nil"/>
                              <w:bottom w:val="nil"/>
                              <w:right w:val="nil"/>
                            </w:tcBorders>
                          </w:tcPr>
                          <w:p w14:paraId="2B5E221A"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554F13BD" w14:textId="77777777" w:rsidR="00E965C5" w:rsidRDefault="00E965C5">
                            <w:pPr>
                              <w:rPr>
                                <w:sz w:val="16"/>
                                <w:szCs w:val="16"/>
                              </w:rPr>
                            </w:pPr>
                            <w:r>
                              <w:rPr>
                                <w:sz w:val="16"/>
                                <w:szCs w:val="16"/>
                              </w:rPr>
                              <w:t xml:space="preserve">magnetic dipole </w:t>
                            </w:r>
                          </w:p>
                          <w:p w14:paraId="55B520C3" w14:textId="77777777" w:rsidR="00E965C5" w:rsidRDefault="00E965C5">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965C5" w:rsidRDefault="00E965C5">
                            <w:pPr>
                              <w:rPr>
                                <w:sz w:val="16"/>
                                <w:szCs w:val="16"/>
                              </w:rPr>
                            </w:pPr>
                            <w:r>
                              <w:rPr>
                                <w:sz w:val="16"/>
                                <w:szCs w:val="16"/>
                              </w:rPr>
                              <w:t xml:space="preserve">1 erg/G = 1 emu </w:t>
                            </w:r>
                          </w:p>
                          <w:p w14:paraId="1B959306"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965C5" w14:paraId="3D1AF801" w14:textId="77777777">
                        <w:tc>
                          <w:tcPr>
                            <w:tcW w:w="720" w:type="dxa"/>
                            <w:tcBorders>
                              <w:top w:val="nil"/>
                              <w:left w:val="nil"/>
                              <w:bottom w:val="nil"/>
                              <w:right w:val="nil"/>
                            </w:tcBorders>
                          </w:tcPr>
                          <w:p w14:paraId="3936A283"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000544F3" w14:textId="77777777" w:rsidR="00E965C5" w:rsidRDefault="00E965C5">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65C5" w14:paraId="1D80299D" w14:textId="77777777">
                        <w:tc>
                          <w:tcPr>
                            <w:tcW w:w="720" w:type="dxa"/>
                            <w:tcBorders>
                              <w:top w:val="nil"/>
                              <w:left w:val="nil"/>
                              <w:bottom w:val="nil"/>
                              <w:right w:val="nil"/>
                            </w:tcBorders>
                          </w:tcPr>
                          <w:p w14:paraId="4EA90266" w14:textId="77777777" w:rsidR="00E965C5" w:rsidRDefault="00E965C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965C5" w:rsidRDefault="00E965C5">
                            <w:pPr>
                              <w:rPr>
                                <w:sz w:val="16"/>
                                <w:szCs w:val="16"/>
                              </w:rPr>
                            </w:pPr>
                            <w:r>
                              <w:rPr>
                                <w:sz w:val="16"/>
                                <w:szCs w:val="16"/>
                              </w:rPr>
                              <w:t>susceptibility</w:t>
                            </w:r>
                          </w:p>
                        </w:tc>
                        <w:tc>
                          <w:tcPr>
                            <w:tcW w:w="2610" w:type="dxa"/>
                            <w:tcBorders>
                              <w:top w:val="nil"/>
                              <w:left w:val="nil"/>
                              <w:bottom w:val="nil"/>
                              <w:right w:val="nil"/>
                            </w:tcBorders>
                          </w:tcPr>
                          <w:p w14:paraId="28389385"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65C5" w14:paraId="1775A50D" w14:textId="77777777">
                        <w:tc>
                          <w:tcPr>
                            <w:tcW w:w="720" w:type="dxa"/>
                            <w:tcBorders>
                              <w:top w:val="nil"/>
                              <w:left w:val="nil"/>
                              <w:bottom w:val="nil"/>
                              <w:right w:val="nil"/>
                            </w:tcBorders>
                          </w:tcPr>
                          <w:p w14:paraId="58C92CC6" w14:textId="77777777" w:rsidR="00E965C5" w:rsidRDefault="00E965C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965C5" w:rsidRDefault="00E965C5">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965C5" w:rsidRDefault="00E965C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65C5" w14:paraId="20E9BFC5" w14:textId="77777777">
                        <w:tc>
                          <w:tcPr>
                            <w:tcW w:w="720" w:type="dxa"/>
                            <w:tcBorders>
                              <w:top w:val="nil"/>
                              <w:left w:val="nil"/>
                              <w:bottom w:val="nil"/>
                              <w:right w:val="nil"/>
                            </w:tcBorders>
                          </w:tcPr>
                          <w:p w14:paraId="1749A5F6" w14:textId="77777777" w:rsidR="00E965C5" w:rsidRDefault="00E965C5">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965C5" w:rsidRDefault="00E965C5">
                            <w:pPr>
                              <w:rPr>
                                <w:sz w:val="16"/>
                                <w:szCs w:val="16"/>
                              </w:rPr>
                            </w:pPr>
                            <w:r>
                              <w:rPr>
                                <w:sz w:val="16"/>
                                <w:szCs w:val="16"/>
                              </w:rPr>
                              <w:t>permeability</w:t>
                            </w:r>
                          </w:p>
                        </w:tc>
                        <w:tc>
                          <w:tcPr>
                            <w:tcW w:w="2610" w:type="dxa"/>
                            <w:tcBorders>
                              <w:top w:val="nil"/>
                              <w:left w:val="nil"/>
                              <w:bottom w:val="nil"/>
                              <w:right w:val="nil"/>
                            </w:tcBorders>
                          </w:tcPr>
                          <w:p w14:paraId="1D796761"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965C5" w:rsidRDefault="00E965C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965C5" w14:paraId="38EA3F7C" w14:textId="77777777">
                        <w:tc>
                          <w:tcPr>
                            <w:tcW w:w="720" w:type="dxa"/>
                            <w:tcBorders>
                              <w:top w:val="nil"/>
                              <w:left w:val="nil"/>
                              <w:bottom w:val="nil"/>
                              <w:right w:val="nil"/>
                            </w:tcBorders>
                          </w:tcPr>
                          <w:p w14:paraId="426EB392" w14:textId="77777777" w:rsidR="00E965C5" w:rsidRDefault="00E965C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965C5" w:rsidRDefault="00E965C5">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965C5" w:rsidRDefault="00E965C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65C5" w14:paraId="48E4792A" w14:textId="77777777">
                        <w:tc>
                          <w:tcPr>
                            <w:tcW w:w="720" w:type="dxa"/>
                            <w:tcBorders>
                              <w:top w:val="nil"/>
                              <w:left w:val="nil"/>
                              <w:bottom w:val="nil"/>
                              <w:right w:val="nil"/>
                            </w:tcBorders>
                          </w:tcPr>
                          <w:p w14:paraId="0D924A8C" w14:textId="77777777" w:rsidR="00E965C5" w:rsidRDefault="00E965C5">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965C5" w:rsidRDefault="00E965C5">
                            <w:pPr>
                              <w:rPr>
                                <w:sz w:val="16"/>
                                <w:szCs w:val="16"/>
                              </w:rPr>
                            </w:pPr>
                            <w:r>
                              <w:rPr>
                                <w:sz w:val="16"/>
                                <w:szCs w:val="16"/>
                              </w:rPr>
                              <w:t>energy density</w:t>
                            </w:r>
                          </w:p>
                        </w:tc>
                        <w:tc>
                          <w:tcPr>
                            <w:tcW w:w="2610" w:type="dxa"/>
                            <w:tcBorders>
                              <w:top w:val="nil"/>
                              <w:left w:val="nil"/>
                              <w:bottom w:val="nil"/>
                              <w:right w:val="nil"/>
                            </w:tcBorders>
                          </w:tcPr>
                          <w:p w14:paraId="5493E5D2" w14:textId="77777777" w:rsidR="00E965C5" w:rsidRDefault="00E965C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65C5" w14:paraId="2EB5CD47" w14:textId="77777777">
                        <w:trPr>
                          <w:trHeight w:val="279"/>
                        </w:trPr>
                        <w:tc>
                          <w:tcPr>
                            <w:tcW w:w="720" w:type="dxa"/>
                            <w:tcBorders>
                              <w:top w:val="nil"/>
                              <w:left w:val="nil"/>
                              <w:bottom w:val="double" w:sz="6" w:space="0" w:color="auto"/>
                              <w:right w:val="nil"/>
                            </w:tcBorders>
                          </w:tcPr>
                          <w:p w14:paraId="00090BDD" w14:textId="77777777" w:rsidR="00E965C5" w:rsidRDefault="00E965C5">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965C5" w:rsidRDefault="00E965C5">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965C5" w:rsidRDefault="00E965C5" w:rsidP="00E97B99">
                      <w:pPr>
                        <w:pStyle w:val="FootnoteText"/>
                      </w:pPr>
                      <w:r>
                        <w:t xml:space="preserve">Vertical lines are optional in tables. Statements that serve as captions for the entire table do not need footnote letters. </w:t>
                      </w:r>
                    </w:p>
                    <w:p w14:paraId="436183EB" w14:textId="6AE5581F" w:rsidR="00E965C5" w:rsidRDefault="00E965C5"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E965C5" w:rsidRDefault="00E965C5" w:rsidP="00E97B99">
                      <w:pPr>
                        <w:pStyle w:val="FootnoteText"/>
                      </w:pPr>
                    </w:p>
                    <w:p w14:paraId="3E94A598" w14:textId="77777777" w:rsidR="00E965C5" w:rsidRDefault="00E965C5"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millimeters x 38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lastRenderedPageBreak/>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8" o:title=""/>
          </v:shape>
          <o:OLEObject Type="Embed" ProgID="Equation.3" ShapeID="_x0000_i1026" DrawAspect="Content" ObjectID="_1594565069"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0"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1"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2"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3"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4"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5"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6"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7"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8"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9"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lang w:val="en-CA" w:eastAsia="en-CA"/>
        </w:rPr>
        <w:drawing>
          <wp:anchor distT="0" distB="118745" distL="114300" distR="114300" simplePos="0" relativeHeight="251667456" behindDoc="0" locked="0" layoutInCell="1" allowOverlap="1" wp14:anchorId="42BAC56C" wp14:editId="2EE03AF1">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en-CA" w:eastAsia="en-CA"/>
        </w:rPr>
        <w:drawing>
          <wp:anchor distT="0" distB="0" distL="114300" distR="114300" simplePos="0" relativeHeight="251662336" behindDoc="0" locked="0" layoutInCell="1" allowOverlap="1" wp14:anchorId="292B4081" wp14:editId="2DB65F22">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lang w:val="en-CA" w:eastAsia="en-CA"/>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3"/>
          <w:footerReference w:type="default" r:id="rId34"/>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3FD2B" w14:textId="77777777" w:rsidR="00076483" w:rsidRDefault="00076483">
      <w:r>
        <w:separator/>
      </w:r>
    </w:p>
  </w:endnote>
  <w:endnote w:type="continuationSeparator" w:id="0">
    <w:p w14:paraId="1DB7CC0F" w14:textId="77777777" w:rsidR="00076483" w:rsidRDefault="0007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E965C5" w:rsidRDefault="00E96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1FA9D" w14:textId="77777777" w:rsidR="00076483" w:rsidRDefault="00076483"/>
  </w:footnote>
  <w:footnote w:type="continuationSeparator" w:id="0">
    <w:p w14:paraId="678949A0" w14:textId="77777777" w:rsidR="00076483" w:rsidRDefault="00076483">
      <w:r>
        <w:continuationSeparator/>
      </w:r>
    </w:p>
  </w:footnote>
  <w:footnote w:id="1">
    <w:p w14:paraId="6181040B" w14:textId="60E71B3D" w:rsidR="00E965C5" w:rsidRDefault="00E965C5">
      <w:pPr>
        <w:pStyle w:val="FootnoteText"/>
      </w:pPr>
      <w:r>
        <w:t xml:space="preserve">This paragraph of the first footnote will contain </w:t>
      </w:r>
      <w:r w:rsidR="000F0E57">
        <w:t>the date</w:t>
      </w:r>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E965C5" w:rsidRDefault="00E965C5">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E965C5" w:rsidRDefault="00E965C5">
      <w:pPr>
        <w:pStyle w:val="FootnoteText"/>
      </w:pPr>
      <w:r>
        <w:t>S. B. Author, Jr., was with Rice University, Houston, TX 77005 USA. He is now with the Department of Physics, Colorado State University, Fort Collins, CO 80523 USA (e-mail: author@lamar.colostate.edu).</w:t>
      </w:r>
    </w:p>
    <w:p w14:paraId="3BB80BC9" w14:textId="77777777" w:rsidR="00E965C5" w:rsidRDefault="00E965C5">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E965C5" w:rsidRDefault="00E965C5"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2C4199" w:rsidR="00E965C5" w:rsidRDefault="00E965C5">
    <w:pPr>
      <w:framePr w:wrap="auto" w:vAnchor="text" w:hAnchor="margin" w:xAlign="right" w:y="1"/>
    </w:pPr>
    <w:r>
      <w:fldChar w:fldCharType="begin"/>
    </w:r>
    <w:r>
      <w:instrText xml:space="preserve">PAGE  </w:instrText>
    </w:r>
    <w:r>
      <w:fldChar w:fldCharType="separate"/>
    </w:r>
    <w:r w:rsidR="0033777A">
      <w:rPr>
        <w:noProof/>
      </w:rPr>
      <w:t>1</w:t>
    </w:r>
    <w:r>
      <w:fldChar w:fldCharType="end"/>
    </w:r>
  </w:p>
  <w:p w14:paraId="3C734628" w14:textId="77777777" w:rsidR="00E965C5" w:rsidRDefault="00E965C5">
    <w:pPr>
      <w:ind w:right="360"/>
    </w:pPr>
    <w:r>
      <w:t>&gt; REPLACE THIS LINE WITH YOUR PAPER IDENTIFICATION NUMBER (DOUBLE-CLICK HERE TO EDIT) &lt;</w:t>
    </w:r>
  </w:p>
  <w:p w14:paraId="2D5740AD" w14:textId="77777777" w:rsidR="00E965C5" w:rsidRDefault="00E965C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6483"/>
    <w:rsid w:val="000A168B"/>
    <w:rsid w:val="000D2BDE"/>
    <w:rsid w:val="000F0E57"/>
    <w:rsid w:val="00104BB0"/>
    <w:rsid w:val="0010794E"/>
    <w:rsid w:val="0013354F"/>
    <w:rsid w:val="00143F2E"/>
    <w:rsid w:val="00144E72"/>
    <w:rsid w:val="00166467"/>
    <w:rsid w:val="001753EA"/>
    <w:rsid w:val="001768FF"/>
    <w:rsid w:val="001A60B1"/>
    <w:rsid w:val="001B36B1"/>
    <w:rsid w:val="001E7B7A"/>
    <w:rsid w:val="001F4C5C"/>
    <w:rsid w:val="00204478"/>
    <w:rsid w:val="00214E2E"/>
    <w:rsid w:val="00216141"/>
    <w:rsid w:val="00217186"/>
    <w:rsid w:val="002434A1"/>
    <w:rsid w:val="00263943"/>
    <w:rsid w:val="00267B35"/>
    <w:rsid w:val="002B5E3E"/>
    <w:rsid w:val="002F7910"/>
    <w:rsid w:val="0033777A"/>
    <w:rsid w:val="003427CE"/>
    <w:rsid w:val="00360269"/>
    <w:rsid w:val="0037551B"/>
    <w:rsid w:val="00392DBA"/>
    <w:rsid w:val="003C3322"/>
    <w:rsid w:val="003C68C2"/>
    <w:rsid w:val="003D4CAE"/>
    <w:rsid w:val="003F26BD"/>
    <w:rsid w:val="003F52AD"/>
    <w:rsid w:val="0043144F"/>
    <w:rsid w:val="00431BFA"/>
    <w:rsid w:val="004353CF"/>
    <w:rsid w:val="00441C76"/>
    <w:rsid w:val="004631BC"/>
    <w:rsid w:val="00484761"/>
    <w:rsid w:val="00484DD5"/>
    <w:rsid w:val="00492BC4"/>
    <w:rsid w:val="004C1E16"/>
    <w:rsid w:val="004C2543"/>
    <w:rsid w:val="004D15CA"/>
    <w:rsid w:val="004E3E4C"/>
    <w:rsid w:val="004F23A0"/>
    <w:rsid w:val="005003E3"/>
    <w:rsid w:val="005052CD"/>
    <w:rsid w:val="00550A26"/>
    <w:rsid w:val="00550BF5"/>
    <w:rsid w:val="00567A70"/>
    <w:rsid w:val="005A2A15"/>
    <w:rsid w:val="005B5376"/>
    <w:rsid w:val="005D1B15"/>
    <w:rsid w:val="005D2824"/>
    <w:rsid w:val="005D4F1A"/>
    <w:rsid w:val="005D72BB"/>
    <w:rsid w:val="005E692F"/>
    <w:rsid w:val="0062114B"/>
    <w:rsid w:val="00623698"/>
    <w:rsid w:val="00625E96"/>
    <w:rsid w:val="00647C09"/>
    <w:rsid w:val="00693D5D"/>
    <w:rsid w:val="006B7F03"/>
    <w:rsid w:val="00725B45"/>
    <w:rsid w:val="007B3A4A"/>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904C7E"/>
    <w:rsid w:val="0091035B"/>
    <w:rsid w:val="009A1F6E"/>
    <w:rsid w:val="009C7D17"/>
    <w:rsid w:val="009E484E"/>
    <w:rsid w:val="009F40FB"/>
    <w:rsid w:val="00A22FCB"/>
    <w:rsid w:val="00A472F1"/>
    <w:rsid w:val="00A502F6"/>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1E7F513F-3054-40A5-9F9F-D525C548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image" Target="media/image3.wmf"/><Relationship Id="rId26" Type="http://schemas.openxmlformats.org/officeDocument/2006/relationships/hyperlink" Target="http://www.halcyon.com/pub/journals/21ps03-vidmar" TargetMode="External"/><Relationship Id="rId3" Type="http://schemas.openxmlformats.org/officeDocument/2006/relationships/styles" Target="styles.xml"/><Relationship Id="rId21" Type="http://schemas.openxmlformats.org/officeDocument/2006/relationships/hyperlink" Target="mailto:graphics@ieee.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20.png"/><Relationship Id="rId25" Type="http://schemas.openxmlformats.org/officeDocument/2006/relationships/hyperlink" Target="http://www.atm.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graphicsqc.ieee.org/" TargetMode="External"/><Relationship Id="rId29"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ieee.org/web/publications/authors/transjnl/index.html" TargetMode="External"/><Relationship Id="rId32" Type="http://schemas.openxmlformats.org/officeDocument/2006/relationships/image" Target="media/image6.tif"/><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copyright" TargetMode="External"/><Relationship Id="rId28" Type="http://schemas.openxmlformats.org/officeDocument/2006/relationships/hyperlink" Target="http://www.amdahl.com/doc/products/bsg/intra/infra/html" TargetMode="External"/><Relationship Id="rId36"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9" Type="http://schemas.openxmlformats.org/officeDocument/2006/relationships/oleObject" Target="embeddings/oleObject2.bin"/><Relationship Id="rId31" Type="http://schemas.openxmlformats.org/officeDocument/2006/relationships/image" Target="media/image5.tif"/><Relationship Id="rId4" Type="http://schemas.openxmlformats.org/officeDocument/2006/relationships/settings" Target="settings.xml"/><Relationship Id="rId9" Type="http://schemas.openxmlformats.org/officeDocument/2006/relationships/hyperlink" Target="http://www.ieee.org/documents/taxonomy_v101.pdf" TargetMode="External"/><Relationship Id="rId14" Type="http://schemas.openxmlformats.org/officeDocument/2006/relationships/oleObject" Target="embeddings/oleObject1.bin"/><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hyperlink" Target="http://home.process.com/Intranets/wp2.htp" TargetMode="External"/><Relationship Id="rId30" Type="http://schemas.openxmlformats.org/officeDocument/2006/relationships/image" Target="media/image4.t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05F43-B9E7-4601-83C8-896A5654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6021</Words>
  <Characters>34323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40264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Jason</cp:lastModifiedBy>
  <cp:revision>2</cp:revision>
  <cp:lastPrinted>2012-08-02T18:53:00Z</cp:lastPrinted>
  <dcterms:created xsi:type="dcterms:W3CDTF">2018-07-31T21:58:00Z</dcterms:created>
  <dcterms:modified xsi:type="dcterms:W3CDTF">2018-07-31T21:58:00Z</dcterms:modified>
</cp:coreProperties>
</file>