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r>
        <w:t xml:space="preserve"/>
      </w:r>
    </w:p>
    <w:p>
      <w:pPr>
        <w:jc w:val="center"/>
      </w:pPr>
      <w:r>
        <w:rPr>
          <w:rFonts w:ascii="Times New Roman" w:cs="Times New Roman" w:eastAsia="Times New Roman" w:hAnsi="Times New Roman"/>
          <w:b/>
          <w:bCs/>
          <w:color w:val="8C0A11"/>
          <w:sz w:val="44"/>
          <w:szCs w:val="44"/>
        </w:rPr>
        <w:t xml:space="preserve">INTERNSHIP PROJECT REPORT</w:t>
      </w:r>
    </w:p>
    <w:p>
      <w:pPr>
        <w:spacing w:after="200"/>
      </w:pPr>
      <w:r>
        <w:t xml:space="preserve"/>
      </w:r>
    </w:p>
    <w:p>
      <w:pPr>
        <w:jc w:val="center"/>
      </w:pPr>
      <w:r>
        <w:rPr>
          <w:rFonts w:ascii="Times New Roman" w:cs="Times New Roman" w:eastAsia="Times New Roman" w:hAnsi="Times New Roman"/>
          <w:b/>
          <w:bCs/>
          <w:sz w:val="26"/>
          <w:szCs w:val="26"/>
        </w:rPr>
        <w:t xml:space="preserve">ON</w:t>
      </w:r>
    </w:p>
    <w:p>
      <w:pPr>
        <w:spacing w:after="120"/>
      </w:pPr>
      <w:r>
        <w:t xml:space="preserve"/>
      </w:r>
    </w:p>
    <w:p>
      <w:pPr>
        <w:jc w:val="center"/>
      </w:pPr>
      <w:r>
        <w:rPr>
          <w:rFonts w:ascii="Times New Roman" w:cs="Times New Roman" w:eastAsia="Times New Roman" w:hAnsi="Times New Roman"/>
          <w:b/>
          <w:bCs/>
          <w:color w:val="B1060F"/>
          <w:sz w:val="34"/>
          <w:szCs w:val="34"/>
        </w:rPr>
        <w:t xml:space="preserve">“NETFLIX CONTENT PERFORMANCE ANALYSIS”</w:t>
      </w:r>
    </w:p>
    <w:p>
      <w:pPr>
        <w:spacing w:after="300"/>
      </w:pPr>
      <w:r>
        <w:t xml:space="preserve"/>
      </w:r>
    </w:p>
    <w:p>
      <w:pPr>
        <w:jc w:val="center"/>
      </w:pPr>
      <w:r>
        <w:rPr>
          <w:rFonts w:ascii="Times New Roman" w:cs="Times New Roman" w:eastAsia="Times New Roman" w:hAnsi="Times New Roman"/>
          <w:i/>
          <w:iCs/>
          <w:sz w:val="24"/>
          <w:szCs w:val="24"/>
        </w:rPr>
        <w:t xml:space="preserve">Submitted in partial fulfilment of the requirements of the</w:t>
      </w:r>
    </w:p>
    <w:p>
      <w:pPr>
        <w:jc w:val="center"/>
      </w:pPr>
      <w:r>
        <w:rPr>
          <w:rFonts w:ascii="Times New Roman" w:cs="Times New Roman" w:eastAsia="Times New Roman" w:hAnsi="Times New Roman"/>
          <w:i/>
          <w:iCs/>
          <w:sz w:val="24"/>
          <w:szCs w:val="24"/>
        </w:rPr>
        <w:t xml:space="preserve">Data Analytics Internship Programme</w:t>
      </w:r>
    </w:p>
    <w:p>
      <w:pPr>
        <w:spacing w:after="400"/>
      </w:pPr>
      <w:r>
        <w:t xml:space="preserve"/>
      </w:r>
    </w:p>
    <w:p>
      <w:pPr>
        <w:jc w:val="center"/>
      </w:pPr>
      <w:r>
        <w:rPr>
          <w:rFonts w:ascii="Times New Roman" w:cs="Times New Roman" w:eastAsia="Times New Roman" w:hAnsi="Times New Roman"/>
          <w:b/>
          <w:bCs/>
          <w:sz w:val="26"/>
          <w:szCs w:val="26"/>
        </w:rPr>
        <w:t xml:space="preserve">Submitted by</w:t>
      </w:r>
    </w:p>
    <w:p>
      <w:pPr>
        <w:spacing w:after="100"/>
      </w:pPr>
      <w:r>
        <w:t xml:space="preserve"/>
      </w:r>
    </w:p>
    <w:p>
      <w:pPr>
        <w:jc w:val="center"/>
      </w:pPr>
      <w:r>
        <w:rPr>
          <w:rFonts w:ascii="Times New Roman" w:cs="Times New Roman" w:eastAsia="Times New Roman" w:hAnsi="Times New Roman"/>
          <w:b/>
          <w:bCs/>
          <w:color w:val="8C0A11"/>
          <w:sz w:val="30"/>
          <w:szCs w:val="30"/>
        </w:rPr>
        <w:t xml:space="preserve">AMEY KISHOR SAWATKAR</w:t>
      </w:r>
    </w:p>
    <w:p>
      <w:pPr>
        <w:spacing w:after="400"/>
      </w:pPr>
      <w:r>
        <w:t xml:space="preserve"/>
      </w:r>
    </w:p>
    <w:p>
      <w:pPr>
        <w:jc w:val="center"/>
      </w:pPr>
      <w:r>
        <w:rPr>
          <w:rFonts w:ascii="Times New Roman" w:cs="Times New Roman" w:eastAsia="Times New Roman" w:hAnsi="Times New Roman"/>
          <w:b/>
          <w:bCs/>
          <w:sz w:val="24"/>
          <w:szCs w:val="24"/>
        </w:rPr>
        <w:t xml:space="preserve">Internship Domain: Data Analytics</w:t>
      </w:r>
    </w:p>
    <w:p>
      <w:pPr>
        <w:spacing w:after="300"/>
        <w:jc w:val="center"/>
      </w:pPr>
      <w:r>
        <w:rPr>
          <w:rFonts w:ascii="Times New Roman" w:cs="Times New Roman" w:eastAsia="Times New Roman" w:hAnsi="Times New Roman"/>
          <w:b/>
          <w:bCs/>
          <w:sz w:val="24"/>
          <w:szCs w:val="24"/>
        </w:rPr>
        <w:t xml:space="preserve">Organisation: SkillinfyTech IT Solutions Pvt. Ltd.</w:t>
      </w:r>
    </w:p>
    <w:p>
      <w:pPr>
        <w:spacing w:after="300"/>
      </w:pPr>
      <w:r>
        <w:t xml:space="preserve"/>
      </w:r>
    </w:p>
    <w:p>
      <w:pPr>
        <w:jc w:val="center"/>
      </w:pPr>
      <w:r>
        <w:rPr>
          <w:rFonts w:ascii="Times New Roman" w:cs="Times New Roman" w:eastAsia="Times New Roman" w:hAnsi="Times New Roman"/>
          <w:b/>
          <w:bCs/>
          <w:sz w:val="26"/>
          <w:szCs w:val="26"/>
        </w:rPr>
        <w:t xml:space="preserve">2026</w:t>
      </w:r>
    </w:p>
    <w:p>
      <w:r>
        <w:br w:type="page"/>
      </w:r>
    </w:p>
    <w:p>
      <w:pPr>
        <w:spacing w:before="400"/>
        <w:jc w:val="center"/>
      </w:pPr>
      <w:r>
        <w:rPr>
          <w:rFonts w:ascii="Times New Roman" w:cs="Times New Roman" w:eastAsia="Times New Roman" w:hAnsi="Times New Roman"/>
          <w:b/>
          <w:bCs/>
          <w:color w:val="8C0A11"/>
          <w:sz w:val="32"/>
          <w:szCs w:val="32"/>
        </w:rPr>
        <w:t xml:space="preserve">CERTIFICATE</w:t>
      </w:r>
    </w:p>
    <w:p>
      <w:pPr>
        <w:spacing w:after="700"/>
      </w:pPr>
      <w:r>
        <w:t xml:space="preserve"/>
      </w:r>
    </w:p>
    <w:p>
      <w:pPr>
        <w:jc w:val="center"/>
      </w:pPr>
      <w:r>
        <w:rPr>
          <w:rFonts w:ascii="Times New Roman" w:cs="Times New Roman" w:eastAsia="Times New Roman" w:hAnsi="Times New Roman"/>
          <w:i/>
          <w:iCs/>
          <w:color w:val="777777"/>
          <w:sz w:val="24"/>
          <w:szCs w:val="24"/>
        </w:rPr>
        <w:t xml:space="preserve">(This page has been intentionally left blank for the official internship completion certificate issued by SkillinfyTech IT Solutions Pvt. Ltd.)</w:t>
      </w:r>
    </w:p>
    <w:p>
      <w:r>
        <w:br w:type="page"/>
      </w:r>
    </w:p>
    <w:p>
      <w:pPr>
        <w:spacing w:after="400" w:before="200"/>
        <w:jc w:val="center"/>
      </w:pPr>
      <w:r>
        <w:rPr>
          <w:rFonts w:ascii="Times New Roman" w:cs="Times New Roman" w:eastAsia="Times New Roman" w:hAnsi="Times New Roman"/>
          <w:b/>
          <w:bCs/>
          <w:color w:val="8C0A11"/>
          <w:sz w:val="32"/>
          <w:szCs w:val="32"/>
        </w:rPr>
        <w:t xml:space="preserve">ACKNOWLEDGEMENT</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I would like to express my sincere gratitude to SkillinfyTech IT Solutions Pvt. Ltd. for granting me the opportunity to undertake this internship in the domain of Data Analytics. This experience has been immensely valuable in bridging the gap between academic knowledge and practical, industry-oriented application of data analytics tools and techniques.</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I am deeply thankful to my internship mentors and the technical team at SkillinfyTech IT Solutions Pvt. Ltd. for their continuous guidance, constructive feedback, and unwavering support throughout the duration of this project. Their willingness to share domain expertise and their patience in clarifying technical concepts played a pivotal role in the successful completion of this project titled “Netflix Content Performance Analysis.”</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I would also like to extend my appreciation to my college faculty and project coordinators for their academic support, encouragement, and valuable suggestions, which helped me align this industry project with the required academic standards and evaluation criteria.</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Finally, I am grateful to my family and peers for their constant motivation and encouragement, which enabled me to dedicate the necessary time and effort to complete this project with sincerity and diligence. This internship has significantly enhanced my technical proficiency in Python, SQL, and Power BI, and has strengthened my confidence in approaching real-world data analytics problems.</w:t>
      </w:r>
    </w:p>
    <w:p>
      <w:pPr>
        <w:spacing w:after="300"/>
      </w:pPr>
      <w:r>
        <w:t xml:space="preserve"/>
      </w:r>
    </w:p>
    <w:p>
      <w:pPr>
        <w:jc w:val="right"/>
      </w:pPr>
      <w:r>
        <w:rPr>
          <w:rFonts w:ascii="Times New Roman" w:cs="Times New Roman" w:eastAsia="Times New Roman" w:hAnsi="Times New Roman"/>
          <w:b/>
          <w:bCs/>
          <w:sz w:val="24"/>
          <w:szCs w:val="24"/>
        </w:rPr>
        <w:t xml:space="preserve">Amey Kishor Sawatkar</w:t>
      </w:r>
    </w:p>
    <w:p>
      <w:pPr>
        <w:spacing w:after="400" w:before="200"/>
        <w:jc w:val="center"/>
      </w:pPr>
      <w:r>
        <w:rPr>
          <w:rFonts w:ascii="Times New Roman" w:cs="Times New Roman" w:eastAsia="Times New Roman" w:hAnsi="Times New Roman"/>
          <w:b/>
          <w:bCs/>
          <w:color w:val="8C0A11"/>
          <w:sz w:val="32"/>
          <w:szCs w:val="32"/>
        </w:rPr>
        <w:t xml:space="preserve">ABSTRACT</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The entertainment and media industry has witnessed a paradigm shift with the emergence of subscription-based streaming platforms, and data analytics has become the backbone of decision-making for such organisations. This project, titled “Netflix Content Performance Analysis,” was undertaken as part of a Data Analytics internship at SkillinfyTech IT Solutions Pvt. Ltd., with the objective of applying a complete, end-to-end data analytics workflow to a large-scale content dataset in order to derive meaningful, actionable business insights.</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The project made use of the dataset “Netflix Movies Detailed up to 2025,” comprising sixteen thousand records that were reduced and refined to seventeen well-structured columns following a rigorous data cleaning process. The analytical workflow adopted in this project spans multiple stages, beginning with data cleaning and preprocessing using Python, specifically leveraging the Pandas and NumPy libraries to handle missing values, remove duplicate entries, correct inconsistent data types, and standardise categorical fields. Exploratory visual analysis was subsequently performed using Matplotlib to understand the underlying distribution and trends within the dataset before it was loaded into a relational database designed in MySQL.</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Following the successful design and population of the MySQL database, a comprehensive set of fifty business-oriented SQL queries was authored and executed to extract insights concerning content trends, country-wise distribution, rating patterns, and performance indicators. The refined and query-validated data was then used to build an interactive, visually compelling dashboard in Microsoft Power BI, integrating key performance indicators, trend charts, geographic breakdowns, and rating distribution visuals into a single, decision-support interface styled to reflect the Netflix brand identity.</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The resulting dashboard and underlying analysis reveal significant patterns in Netflix’s content library, including a marked acceleration in content additions in more recent years, a heavy concentration of titles originating from the United States followed by a small number of other contributing countries, and a fairly balanced distribution of content across the top three rating bands. This report documents the complete methodology, tools, technical implementation, dashboard interpretation, and business insights derived from the project, and concludes with a discussion of the learning outcomes, challenges encountered, and potential directions for future enhancement of the analysis.</w:t>
      </w:r>
    </w:p>
    <w:p>
      <w:pPr>
        <w:spacing w:after="400" w:before="200"/>
        <w:jc w:val="center"/>
      </w:pPr>
      <w:r>
        <w:rPr>
          <w:rFonts w:ascii="Times New Roman" w:cs="Times New Roman" w:eastAsia="Times New Roman" w:hAnsi="Times New Roman"/>
          <w:b/>
          <w:bCs/>
          <w:color w:val="8C0A11"/>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200"/>
      </w:pPr>
      <w:r>
        <w:t xml:space="preserve"/>
      </w:r>
    </w:p>
    <w:p>
      <w:pPr>
        <w:jc w:val="center"/>
      </w:pPr>
      <w:r>
        <w:rPr>
          <w:rFonts w:ascii="Times New Roman" w:cs="Times New Roman" w:eastAsia="Times New Roman" w:hAnsi="Times New Roman"/>
          <w:i/>
          <w:iCs/>
          <w:color w:val="777777"/>
          <w:sz w:val="20"/>
          <w:szCs w:val="20"/>
        </w:rPr>
        <w:t xml:space="preserve">(Right-click the table above and select “Update Field” to populate page numbers after opening this document in Microsoft Word.)</w:t>
      </w:r>
    </w:p>
    <w:p>
      <w:pPr>
        <w:pStyle w:val="Heading1"/>
        <w:pBdr>
          <w:bottom w:val="single" w:color="B1060F" w:sz="8" w:space="6"/>
        </w:pBdr>
        <w:spacing w:after="160" w:before="280" w:line="360" w:lineRule="auto"/>
      </w:pPr>
      <w:r>
        <w:rPr>
          <w:rFonts w:ascii="Times New Roman" w:cs="Times New Roman" w:eastAsia="Times New Roman" w:hAnsi="Times New Roman"/>
          <w:b/>
          <w:bCs/>
          <w:color w:val="8C0A11"/>
          <w:sz w:val="32"/>
          <w:szCs w:val="32"/>
        </w:rPr>
        <w:t xml:space="preserve">1. Introduction</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In the contemporary digital economy, streaming platforms have fundamentally transformed the manner in which audiences consume entertainment content. Netflix, as one of the pioneers and largest players in this domain, maintains an extensive and continually expanding library of movies and television content spanning multiple genres, languages, and countries of origin. The scale and diversity of such a content library make it an ideal candidate for a comprehensive data analytics study, as it offers rich opportunities to examine content trends, regional contribution patterns, audience reception through ratings, and overall platform growth over time.</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This project, undertaken as part of a structured Data Analytics internship programme at SkillinfyTech IT Solutions Pvt. Ltd., was designed to provide hands-on, industry-relevant exposure to the complete lifecycle of a real-world data analytics engagement. Rather than treating data analytics as an isolated academic exercise, the project was structured to mirror the workflow typically followed within a professional analytics team: beginning with raw, unrefined data, progressing through systematic cleaning and preprocessing, advancing into structured database storage and query-based analysis, and culminating in the creation of an executive-level, decision-support dashboard.</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The subject matter selected for this analysis, namely the “Netflix Movies Detailed up to 2025” dataset, was chosen for its relevance, scale, and business applicability. Streaming and media analytics represent one of the fastest-growing application areas of data science, and the insights generated through such analysis directly inform content acquisition strategy, regional expansion planning, marketing prioritisation, and platform investment decisions in real organisations. By working with this dataset, the internship project sought to simulate the kind of analytical support that a data analyst would be expected to provide to a content strategy or business intelligence team within a media organisation.</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This report presents, in a structured and sequential manner, the complete body of work undertaken during the internship. It begins with an overview of the host organisation and the objectives defined at the outset of the project, followed by a detailed account of the dataset and the tools employed. The report then documents the technical execution of the project, including the Python-based data cleaning pipeline, the design of the MySQL database, and the fifty business-oriented SQL queries developed to interrogate the data. A dedicated section is devoted to the interpretation of the Power BI dashboard produced as the principal deliverable of this project, followed by a discussion of the key business insights, learning outcomes, challenges encountered, and the scope for future enhancement of the work.</w:t>
      </w:r>
    </w:p>
    <w:p>
      <w:pPr>
        <w:pStyle w:val="Heading1"/>
        <w:pBdr>
          <w:bottom w:val="single" w:color="B1060F" w:sz="8" w:space="6"/>
        </w:pBdr>
        <w:spacing w:after="160" w:before="280" w:line="360" w:lineRule="auto"/>
      </w:pPr>
      <w:r>
        <w:rPr>
          <w:rFonts w:ascii="Times New Roman" w:cs="Times New Roman" w:eastAsia="Times New Roman" w:hAnsi="Times New Roman"/>
          <w:b/>
          <w:bCs/>
          <w:color w:val="8C0A11"/>
          <w:sz w:val="32"/>
          <w:szCs w:val="32"/>
        </w:rPr>
        <w:t xml:space="preserve">2. Company Profile</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SkillinfyTech IT Solutions Pvt. Ltd. is an information technology and skill-development organisation that focuses on providing industry-oriented training, internship, and consulting services in the domains of data analytics, software development, and emerging technologies. The organisation places strong emphasis on bridging the gap between theoretical academic learning and the practical, tool-based competencies demanded by the modern technology industry.</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As part of its internship programme, SkillinfyTech IT Solutions Pvt. Ltd. offers structured, project-based learning opportunities to students and early-career professionals, enabling them to work on realistic datasets and business scenarios under the guidance of experienced mentors. The organisation’s Data Analytics internship track, under which this project was undertaken, is designed to develop proficiency across the full analytics stack, encompassing data acquisition, cleaning, transformation, database management, query-based analysis, and business intelligence visualisation.</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The internship structure adopted by SkillinfyTech IT Solutions Pvt. Ltd. reflects prevailing industry practices, wherein interns are expected to independently manage a project from raw data ingestion through to final presentation-ready deliverables. This approach not only strengthens technical capability but also cultivates essential professional skills such as analytical reasoning, structured problem-solving, and the ability to communicate technical findings to non-technical stakeholders through well-designed dashboards and reports.</w:t>
      </w:r>
    </w:p>
    <w:p>
      <w:pPr>
        <w:pStyle w:val="Heading1"/>
        <w:pBdr>
          <w:bottom w:val="single" w:color="B1060F" w:sz="8" w:space="6"/>
        </w:pBdr>
        <w:spacing w:after="160" w:before="280" w:line="360" w:lineRule="auto"/>
      </w:pPr>
      <w:r>
        <w:rPr>
          <w:rFonts w:ascii="Times New Roman" w:cs="Times New Roman" w:eastAsia="Times New Roman" w:hAnsi="Times New Roman"/>
          <w:b/>
          <w:bCs/>
          <w:color w:val="8C0A11"/>
          <w:sz w:val="32"/>
          <w:szCs w:val="32"/>
        </w:rPr>
        <w:t xml:space="preserve">3. Project Objectives</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The primary aim of this internship project was to design and execute a complete data analytics pipeline, from raw dataset to a fully interactive business intelligence dashboard, using the Netflix content dataset as the analytical subject. The specific objectives formulated at the commencement of the project are outlined below.</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acquire, inspect, and clean the raw Netflix content dataset using Python, ensuring that missing values, duplicate records, and inconsistent data types are appropriately handled prior to further analysis.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perform structured data preprocessing using the Pandas and NumPy libraries so as to produce a refined, analysis-ready dataset consisting of well-defined columns suitable for both SQL-based querying and dashboard visualisation.</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conduct preliminary exploratory data analysis using Matplotlib in order to visually understand distributions, trends, and outliers within the dataset prior to formal reporting.</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design and implement a relational database schema in MySQL capable of efficiently storing and serving the cleaned Netflix content data for query-based analysis.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author and execute a comprehensive set of fifty business-oriented SQL queries addressing a wide range of analytical questions, including content trends over time, country-wise contribution, and rating-based performance.</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design and develop an interactive, visually professional dashboard in Microsoft Power BI that consolidates the key findings of the analysis into a single, decision-support interface suitable for presentation to business stakeholders.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interpret the resulting dashboard and derive a set of concrete, actionable business insights that could inform content strategy and platform decision-making in a real streaming media organisation.</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document the entire analytical process, technical implementation, and business findings in a structured, professional report suitable for academic submission and industry review.</w:t>
      </w:r>
    </w:p>
    <w:p>
      <w:pPr>
        <w:pStyle w:val="Heading1"/>
        <w:pBdr>
          <w:bottom w:val="single" w:color="B1060F" w:sz="8" w:space="6"/>
        </w:pBdr>
        <w:spacing w:after="160" w:before="280" w:line="360" w:lineRule="auto"/>
      </w:pPr>
      <w:r>
        <w:rPr>
          <w:rFonts w:ascii="Times New Roman" w:cs="Times New Roman" w:eastAsia="Times New Roman" w:hAnsi="Times New Roman"/>
          <w:b/>
          <w:bCs/>
          <w:color w:val="8C0A11"/>
          <w:sz w:val="32"/>
          <w:szCs w:val="32"/>
        </w:rPr>
        <w:t xml:space="preserve">4. Problem Statement</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Streaming platforms such as Netflix accumulate vast quantities of content metadata over time, spanning multiple countries, genres, release years, and audience rating categories. In their raw form, such datasets are frequently inconsistent, containing missing values, duplicate entries, and irregular formatting that render them unsuitable for direct business analysis. Without a structured analytical process, organisations are unable to reliably answer fundamental strategic questions, such as which countries contribute the largest share of content, how content acquisition has trended over recent years, and how audience ratings are distributed across the content library.</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The central problem addressed by this project, therefore, was twofold. First, there existed a need to transform the raw, unrefined Netflix content dataset into a clean, consistent, and analysis-ready form through a disciplined data cleaning and preprocessing workflow. Second, there existed a need to translate this refined dataset into a set of clear, interpretable, and business-relevant insights that could realistically support content strategy and investment decisions, presented in a format accessible to both technical and non-technical stakeholders.</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This project sought to resolve both dimensions of the problem by constructing a complete analytical pipeline, encompassing Python-based cleaning, MySQL-based structured storage and querying, and Power BI-based visualisation, culminating in a dashboard and accompanying report capable of answering key business questions regarding Netflix’s content composition and performance.</w:t>
      </w:r>
    </w:p>
    <w:p>
      <w:pPr>
        <w:pStyle w:val="Heading1"/>
        <w:pBdr>
          <w:bottom w:val="single" w:color="B1060F" w:sz="8" w:space="6"/>
        </w:pBdr>
        <w:spacing w:after="160" w:before="280" w:line="360" w:lineRule="auto"/>
      </w:pPr>
      <w:r>
        <w:rPr>
          <w:rFonts w:ascii="Times New Roman" w:cs="Times New Roman" w:eastAsia="Times New Roman" w:hAnsi="Times New Roman"/>
          <w:b/>
          <w:bCs/>
          <w:color w:val="8C0A11"/>
          <w:sz w:val="32"/>
          <w:szCs w:val="32"/>
        </w:rPr>
        <w:t xml:space="preserve">5. Dataset Description</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The dataset used for this project, titled “Netflix Movies Detailed up to 2025,” consists of detailed metadata describing individual titles available on the Netflix platform. In its original raw form, the dataset contained a combination of numeric, textual, and categorical fields describing attributes such as title identifiers, release information, country of origin, genre classification, audience ratings, and performance-related metrics. The dataset comprised a total of sixteen thousand records prior to and following the cleaning process, with the number of usable columns reduced and standardised to seventeen following the data cleaning and preprocessing stage described in Section 8.</w:t>
      </w:r>
    </w:p>
    <w:p>
      <w:pPr>
        <w:pStyle w:val="Heading2"/>
        <w:spacing w:after="100" w:before="160" w:line="360" w:lineRule="auto"/>
      </w:pPr>
      <w:r>
        <w:rPr>
          <w:rFonts w:ascii="Times New Roman" w:cs="Times New Roman" w:eastAsia="Times New Roman" w:hAnsi="Times New Roman"/>
          <w:b/>
          <w:bCs/>
          <w:color w:val="111111"/>
          <w:sz w:val="28"/>
          <w:szCs w:val="28"/>
        </w:rPr>
        <w:t xml:space="preserve">5.1 Dataset Summary</w:t>
      </w:r>
    </w:p>
    <w:tbl>
      <w:tblPr>
        <w:tblW w:type="dxa" w:w="9600"/>
        <w:tblBorders>
          <w:top w:val="single" w:color="999999" w:sz="4"/>
          <w:left w:val="single" w:color="999999" w:sz="4"/>
          <w:bottom w:val="single" w:color="999999" w:sz="4"/>
          <w:right w:val="single" w:color="999999" w:sz="4"/>
          <w:insideH w:val="single" w:color="CCCCCC" w:sz="4"/>
          <w:insideV w:val="single" w:color="CCCCCC" w:sz="4"/>
        </w:tblBorders>
      </w:tblPr>
      <w:tblGrid>
        <w:gridCol w:w="3500"/>
        <w:gridCol w:w="6100"/>
      </w:tblGrid>
      <w:tr>
        <w:trPr>
          <w:tblHeader/>
        </w:trPr>
        <w:tc>
          <w:tcPr>
            <w:tcW w:type="dxa" w:w="3500"/>
            <w:shd w:fill="B1060F" w:val="clear"/>
            <w:tcMar>
              <w:top w:type="dxa" w:w="100"/>
              <w:left w:type="dxa" w:w="120"/>
              <w:bottom w:type="dxa" w:w="100"/>
              <w:right w:type="dxa" w:w="120"/>
            </w:tcMar>
            <w:vAlign w:val="center"/>
          </w:tcPr>
          <w:p>
            <w:pPr>
              <w:spacing w:line="276" w:lineRule="auto"/>
              <w:jc w:val="center"/>
            </w:pPr>
            <w:r>
              <w:rPr>
                <w:rFonts w:ascii="Times New Roman" w:cs="Times New Roman" w:eastAsia="Times New Roman" w:hAnsi="Times New Roman"/>
                <w:b/>
                <w:bCs/>
                <w:color w:val="FFFFFF"/>
                <w:sz w:val="22"/>
                <w:szCs w:val="22"/>
              </w:rPr>
              <w:t xml:space="preserve">Attribute</w:t>
            </w:r>
          </w:p>
        </w:tc>
        <w:tc>
          <w:tcPr>
            <w:tcW w:type="dxa" w:w="6100"/>
            <w:shd w:fill="B1060F" w:val="clear"/>
            <w:tcMar>
              <w:top w:type="dxa" w:w="100"/>
              <w:left w:type="dxa" w:w="120"/>
              <w:bottom w:type="dxa" w:w="100"/>
              <w:right w:type="dxa" w:w="120"/>
            </w:tcMar>
            <w:vAlign w:val="center"/>
          </w:tcPr>
          <w:p>
            <w:pPr>
              <w:spacing w:line="276" w:lineRule="auto"/>
              <w:jc w:val="center"/>
            </w:pPr>
            <w:r>
              <w:rPr>
                <w:rFonts w:ascii="Times New Roman" w:cs="Times New Roman" w:eastAsia="Times New Roman" w:hAnsi="Times New Roman"/>
                <w:b/>
                <w:bCs/>
                <w:color w:val="FFFFFF"/>
                <w:sz w:val="22"/>
                <w:szCs w:val="22"/>
              </w:rPr>
              <w:t xml:space="preserve">Details</w:t>
            </w:r>
          </w:p>
        </w:tc>
      </w:tr>
      <w:tr>
        <w:tc>
          <w:tcPr>
            <w:tcW w:type="dxa" w:w="35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Dataset Name</w:t>
            </w:r>
          </w:p>
        </w:tc>
        <w:tc>
          <w:tcPr>
            <w:tcW w:type="dxa" w:w="61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Netflix Movies Detailed up to 2025</w:t>
            </w:r>
          </w:p>
        </w:tc>
      </w:tr>
      <w:tr>
        <w:tc>
          <w:tcPr>
            <w:tcW w:type="dxa" w:w="35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Total Records</w:t>
            </w:r>
          </w:p>
        </w:tc>
        <w:tc>
          <w:tcPr>
            <w:tcW w:type="dxa" w:w="61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16,000</w:t>
            </w:r>
          </w:p>
        </w:tc>
      </w:tr>
      <w:tr>
        <w:tc>
          <w:tcPr>
            <w:tcW w:type="dxa" w:w="35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Final Columns after Cleaning</w:t>
            </w:r>
          </w:p>
        </w:tc>
        <w:tc>
          <w:tcPr>
            <w:tcW w:type="dxa" w:w="61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17</w:t>
            </w:r>
          </w:p>
        </w:tc>
      </w:tr>
      <w:tr>
        <w:tc>
          <w:tcPr>
            <w:tcW w:type="dxa" w:w="35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Data Format</w:t>
            </w:r>
          </w:p>
        </w:tc>
        <w:tc>
          <w:tcPr>
            <w:tcW w:type="dxa" w:w="61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Structured tabular data (CSV, loaded into MySQL)</w:t>
            </w:r>
          </w:p>
        </w:tc>
      </w:tr>
      <w:tr>
        <w:tc>
          <w:tcPr>
            <w:tcW w:type="dxa" w:w="35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Primary Domain</w:t>
            </w:r>
          </w:p>
        </w:tc>
        <w:tc>
          <w:tcPr>
            <w:tcW w:type="dxa" w:w="61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Media and Entertainment – Streaming Content Analytics</w:t>
            </w:r>
          </w:p>
        </w:tc>
      </w:tr>
      <w:tr>
        <w:tc>
          <w:tcPr>
            <w:tcW w:type="dxa" w:w="35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Time Period Covered</w:t>
            </w:r>
          </w:p>
        </w:tc>
        <w:tc>
          <w:tcPr>
            <w:tcW w:type="dxa" w:w="61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Historical content up to and including release year 2025</w:t>
            </w:r>
          </w:p>
        </w:tc>
      </w:tr>
    </w:tbl>
    <w:p>
      <w:pPr>
        <w:spacing w:after="200"/>
      </w:pPr>
      <w:r>
        <w:t xml:space="preserve"/>
      </w:r>
    </w:p>
    <w:p>
      <w:pPr>
        <w:pStyle w:val="Heading2"/>
        <w:spacing w:after="100" w:before="160" w:line="360" w:lineRule="auto"/>
      </w:pPr>
      <w:r>
        <w:rPr>
          <w:rFonts w:ascii="Times New Roman" w:cs="Times New Roman" w:eastAsia="Times New Roman" w:hAnsi="Times New Roman"/>
          <w:b/>
          <w:bCs/>
          <w:color w:val="111111"/>
          <w:sz w:val="28"/>
          <w:szCs w:val="28"/>
        </w:rPr>
        <w:t xml:space="preserve">5.2 Representative Data Fields</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Following the cleaning process, the refined dataset retained a set of seventeen key fields considered most relevant to business analysis. The table below summarises the representative categories of fields present in the cleaned dataset, along with their analytical purpose. Exact column names varied slightly depending on the source formatting, but the underlying business fields are represented as follows.</w:t>
      </w:r>
    </w:p>
    <w:tbl>
      <w:tblPr>
        <w:tblW w:type="dxa" w:w="9600"/>
        <w:tblBorders>
          <w:top w:val="single" w:color="999999" w:sz="4"/>
          <w:left w:val="single" w:color="999999" w:sz="4"/>
          <w:bottom w:val="single" w:color="999999" w:sz="4"/>
          <w:right w:val="single" w:color="999999" w:sz="4"/>
          <w:insideH w:val="single" w:color="CCCCCC" w:sz="4"/>
          <w:insideV w:val="single" w:color="CCCCCC" w:sz="4"/>
        </w:tblBorders>
      </w:tblPr>
      <w:tblGrid>
        <w:gridCol w:w="2600"/>
        <w:gridCol w:w="3600"/>
        <w:gridCol w:w="3400"/>
      </w:tblGrid>
      <w:tr>
        <w:trPr>
          <w:tblHeader/>
        </w:trPr>
        <w:tc>
          <w:tcPr>
            <w:tcW w:type="dxa" w:w="2600"/>
            <w:shd w:fill="B1060F" w:val="clear"/>
            <w:tcMar>
              <w:top w:type="dxa" w:w="100"/>
              <w:left w:type="dxa" w:w="120"/>
              <w:bottom w:type="dxa" w:w="100"/>
              <w:right w:type="dxa" w:w="120"/>
            </w:tcMar>
            <w:vAlign w:val="center"/>
          </w:tcPr>
          <w:p>
            <w:pPr>
              <w:spacing w:line="276" w:lineRule="auto"/>
              <w:jc w:val="center"/>
            </w:pPr>
            <w:r>
              <w:rPr>
                <w:rFonts w:ascii="Times New Roman" w:cs="Times New Roman" w:eastAsia="Times New Roman" w:hAnsi="Times New Roman"/>
                <w:b/>
                <w:bCs/>
                <w:color w:val="FFFFFF"/>
                <w:sz w:val="22"/>
                <w:szCs w:val="22"/>
              </w:rPr>
              <w:t xml:space="preserve">Field Category</w:t>
            </w:r>
          </w:p>
        </w:tc>
        <w:tc>
          <w:tcPr>
            <w:tcW w:type="dxa" w:w="3600"/>
            <w:shd w:fill="B1060F" w:val="clear"/>
            <w:tcMar>
              <w:top w:type="dxa" w:w="100"/>
              <w:left w:type="dxa" w:w="120"/>
              <w:bottom w:type="dxa" w:w="100"/>
              <w:right w:type="dxa" w:w="120"/>
            </w:tcMar>
            <w:vAlign w:val="center"/>
          </w:tcPr>
          <w:p>
            <w:pPr>
              <w:spacing w:line="276" w:lineRule="auto"/>
              <w:jc w:val="center"/>
            </w:pPr>
            <w:r>
              <w:rPr>
                <w:rFonts w:ascii="Times New Roman" w:cs="Times New Roman" w:eastAsia="Times New Roman" w:hAnsi="Times New Roman"/>
                <w:b/>
                <w:bCs/>
                <w:color w:val="FFFFFF"/>
                <w:sz w:val="22"/>
                <w:szCs w:val="22"/>
              </w:rPr>
              <w:t xml:space="preserve">Description</w:t>
            </w:r>
          </w:p>
        </w:tc>
        <w:tc>
          <w:tcPr>
            <w:tcW w:type="dxa" w:w="3400"/>
            <w:shd w:fill="B1060F" w:val="clear"/>
            <w:tcMar>
              <w:top w:type="dxa" w:w="100"/>
              <w:left w:type="dxa" w:w="120"/>
              <w:bottom w:type="dxa" w:w="100"/>
              <w:right w:type="dxa" w:w="120"/>
            </w:tcMar>
            <w:vAlign w:val="center"/>
          </w:tcPr>
          <w:p>
            <w:pPr>
              <w:spacing w:line="276" w:lineRule="auto"/>
              <w:jc w:val="center"/>
            </w:pPr>
            <w:r>
              <w:rPr>
                <w:rFonts w:ascii="Times New Roman" w:cs="Times New Roman" w:eastAsia="Times New Roman" w:hAnsi="Times New Roman"/>
                <w:b/>
                <w:bCs/>
                <w:color w:val="FFFFFF"/>
                <w:sz w:val="22"/>
                <w:szCs w:val="22"/>
              </w:rPr>
              <w:t xml:space="preserve">Analytical Use</w:t>
            </w:r>
          </w:p>
        </w:tc>
      </w:tr>
      <w:tr>
        <w:tc>
          <w:tcPr>
            <w:tcW w:type="dxa" w:w="26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Title Identifier (show_id)</w:t>
            </w:r>
          </w:p>
        </w:tc>
        <w:tc>
          <w:tcPr>
            <w:tcW w:type="dxa" w:w="36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Unique identifier assigned to each content record</w:t>
            </w:r>
          </w:p>
        </w:tc>
        <w:tc>
          <w:tcPr>
            <w:tcW w:type="dxa" w:w="34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Used for counting and aggregation across visuals</w:t>
            </w:r>
          </w:p>
        </w:tc>
      </w:tr>
      <w:tr>
        <w:tc>
          <w:tcPr>
            <w:tcW w:type="dxa" w:w="26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Release Year</w:t>
            </w:r>
          </w:p>
        </w:tc>
        <w:tc>
          <w:tcPr>
            <w:tcW w:type="dxa" w:w="36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Year in which the title was released or added to the platform</w:t>
            </w:r>
          </w:p>
        </w:tc>
        <w:tc>
          <w:tcPr>
            <w:tcW w:type="dxa" w:w="34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Used to analyse content growth trends over time</w:t>
            </w:r>
          </w:p>
        </w:tc>
      </w:tr>
      <w:tr>
        <w:tc>
          <w:tcPr>
            <w:tcW w:type="dxa" w:w="26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Country</w:t>
            </w:r>
          </w:p>
        </w:tc>
        <w:tc>
          <w:tcPr>
            <w:tcW w:type="dxa" w:w="36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Country or countries of content origin or production</w:t>
            </w:r>
          </w:p>
        </w:tc>
        <w:tc>
          <w:tcPr>
            <w:tcW w:type="dxa" w:w="34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Used to analyse geographic distribution of content</w:t>
            </w:r>
          </w:p>
        </w:tc>
      </w:tr>
      <w:tr>
        <w:tc>
          <w:tcPr>
            <w:tcW w:type="dxa" w:w="26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Content Rating</w:t>
            </w:r>
          </w:p>
        </w:tc>
        <w:tc>
          <w:tcPr>
            <w:tcW w:type="dxa" w:w="36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Numeric or categorical rating associated with the title</w:t>
            </w:r>
          </w:p>
        </w:tc>
        <w:tc>
          <w:tcPr>
            <w:tcW w:type="dxa" w:w="34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Used to analyse audience reception and quality distribution</w:t>
            </w:r>
          </w:p>
        </w:tc>
      </w:tr>
      <w:tr>
        <w:tc>
          <w:tcPr>
            <w:tcW w:type="dxa" w:w="26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Popularity Score</w:t>
            </w:r>
          </w:p>
        </w:tc>
        <w:tc>
          <w:tcPr>
            <w:tcW w:type="dxa" w:w="36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Metric reflecting relative viewer interest or engagement</w:t>
            </w:r>
          </w:p>
        </w:tc>
        <w:tc>
          <w:tcPr>
            <w:tcW w:type="dxa" w:w="34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Used to compute average popularity across the library</w:t>
            </w:r>
          </w:p>
        </w:tc>
      </w:tr>
      <w:tr>
        <w:tc>
          <w:tcPr>
            <w:tcW w:type="dxa" w:w="26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Revenue</w:t>
            </w:r>
          </w:p>
        </w:tc>
        <w:tc>
          <w:tcPr>
            <w:tcW w:type="dxa" w:w="36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Estimated revenue figure associated with the title</w:t>
            </w:r>
          </w:p>
        </w:tc>
        <w:tc>
          <w:tcPr>
            <w:tcW w:type="dxa" w:w="34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Used to compute total revenue performance indicator</w:t>
            </w:r>
          </w:p>
        </w:tc>
      </w:tr>
      <w:tr>
        <w:tc>
          <w:tcPr>
            <w:tcW w:type="dxa" w:w="26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Budget</w:t>
            </w:r>
          </w:p>
        </w:tc>
        <w:tc>
          <w:tcPr>
            <w:tcW w:type="dxa" w:w="36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Estimated production budget associated with the title</w:t>
            </w:r>
          </w:p>
        </w:tc>
        <w:tc>
          <w:tcPr>
            <w:tcW w:type="dxa" w:w="34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Used to compute total budget performance indicator</w:t>
            </w:r>
          </w:p>
        </w:tc>
      </w:tr>
      <w:tr>
        <w:tc>
          <w:tcPr>
            <w:tcW w:type="dxa" w:w="26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Additional Descriptive Fields</w:t>
            </w:r>
          </w:p>
        </w:tc>
        <w:tc>
          <w:tcPr>
            <w:tcW w:type="dxa" w:w="36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Supporting attributes such as genre, duration, and type</w:t>
            </w:r>
          </w:p>
        </w:tc>
        <w:tc>
          <w:tcPr>
            <w:tcW w:type="dxa" w:w="34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Used for supplementary filtering and segmentation</w:t>
            </w:r>
          </w:p>
        </w:tc>
      </w:tr>
    </w:tbl>
    <w:p>
      <w:pPr>
        <w:spacing w:after="200"/>
      </w:pPr>
      <w:r>
        <w:t xml:space="preserve"/>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The dataset, once cleaned and structured, provided a robust foundation for both SQL-based querying and Power BI-based visualisation, enabling the analytical objectives outlined in Section 3 to be addressed comprehensively.</w:t>
      </w:r>
    </w:p>
    <w:p>
      <w:pPr>
        <w:pStyle w:val="Heading1"/>
        <w:pBdr>
          <w:bottom w:val="single" w:color="B1060F" w:sz="8" w:space="6"/>
        </w:pBdr>
        <w:spacing w:after="160" w:before="280" w:line="360" w:lineRule="auto"/>
      </w:pPr>
      <w:r>
        <w:rPr>
          <w:rFonts w:ascii="Times New Roman" w:cs="Times New Roman" w:eastAsia="Times New Roman" w:hAnsi="Times New Roman"/>
          <w:b/>
          <w:bCs/>
          <w:color w:val="8C0A11"/>
          <w:sz w:val="32"/>
          <w:szCs w:val="32"/>
        </w:rPr>
        <w:t xml:space="preserve">6. Tools and Technologies Used</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A combination of programming languages, libraries, and business intelligence software was employed throughout this project to ensure that each stage of the analytics pipeline, from raw data ingestion to final dashboard presentation, was executed using industry-standard tools. The table below summarises the principal tools and technologies utilised, along with their specific role within the project.</w:t>
      </w:r>
    </w:p>
    <w:tbl>
      <w:tblPr>
        <w:tblW w:type="dxa" w:w="9600"/>
        <w:tblBorders>
          <w:top w:val="single" w:color="999999" w:sz="4"/>
          <w:left w:val="single" w:color="999999" w:sz="4"/>
          <w:bottom w:val="single" w:color="999999" w:sz="4"/>
          <w:right w:val="single" w:color="999999" w:sz="4"/>
          <w:insideH w:val="single" w:color="CCCCCC" w:sz="4"/>
          <w:insideV w:val="single" w:color="CCCCCC" w:sz="4"/>
        </w:tblBorders>
      </w:tblPr>
      <w:tblGrid>
        <w:gridCol w:w="3200"/>
        <w:gridCol w:w="2800"/>
        <w:gridCol w:w="3600"/>
      </w:tblGrid>
      <w:tr>
        <w:trPr>
          <w:tblHeader/>
        </w:trPr>
        <w:tc>
          <w:tcPr>
            <w:tcW w:type="dxa" w:w="3200"/>
            <w:shd w:fill="B1060F" w:val="clear"/>
            <w:tcMar>
              <w:top w:type="dxa" w:w="100"/>
              <w:left w:type="dxa" w:w="120"/>
              <w:bottom w:type="dxa" w:w="100"/>
              <w:right w:type="dxa" w:w="120"/>
            </w:tcMar>
            <w:vAlign w:val="center"/>
          </w:tcPr>
          <w:p>
            <w:pPr>
              <w:spacing w:line="276" w:lineRule="auto"/>
              <w:jc w:val="center"/>
            </w:pPr>
            <w:r>
              <w:rPr>
                <w:rFonts w:ascii="Times New Roman" w:cs="Times New Roman" w:eastAsia="Times New Roman" w:hAnsi="Times New Roman"/>
                <w:b/>
                <w:bCs/>
                <w:color w:val="FFFFFF"/>
                <w:sz w:val="22"/>
                <w:szCs w:val="22"/>
              </w:rPr>
              <w:t xml:space="preserve">Tool / Technology</w:t>
            </w:r>
          </w:p>
        </w:tc>
        <w:tc>
          <w:tcPr>
            <w:tcW w:type="dxa" w:w="2800"/>
            <w:shd w:fill="B1060F" w:val="clear"/>
            <w:tcMar>
              <w:top w:type="dxa" w:w="100"/>
              <w:left w:type="dxa" w:w="120"/>
              <w:bottom w:type="dxa" w:w="100"/>
              <w:right w:type="dxa" w:w="120"/>
            </w:tcMar>
            <w:vAlign w:val="center"/>
          </w:tcPr>
          <w:p>
            <w:pPr>
              <w:spacing w:line="276" w:lineRule="auto"/>
              <w:jc w:val="center"/>
            </w:pPr>
            <w:r>
              <w:rPr>
                <w:rFonts w:ascii="Times New Roman" w:cs="Times New Roman" w:eastAsia="Times New Roman" w:hAnsi="Times New Roman"/>
                <w:b/>
                <w:bCs/>
                <w:color w:val="FFFFFF"/>
                <w:sz w:val="22"/>
                <w:szCs w:val="22"/>
              </w:rPr>
              <w:t xml:space="preserve">Category</w:t>
            </w:r>
          </w:p>
        </w:tc>
        <w:tc>
          <w:tcPr>
            <w:tcW w:type="dxa" w:w="3600"/>
            <w:shd w:fill="B1060F" w:val="clear"/>
            <w:tcMar>
              <w:top w:type="dxa" w:w="100"/>
              <w:left w:type="dxa" w:w="120"/>
              <w:bottom w:type="dxa" w:w="100"/>
              <w:right w:type="dxa" w:w="120"/>
            </w:tcMar>
            <w:vAlign w:val="center"/>
          </w:tcPr>
          <w:p>
            <w:pPr>
              <w:spacing w:line="276" w:lineRule="auto"/>
              <w:jc w:val="center"/>
            </w:pPr>
            <w:r>
              <w:rPr>
                <w:rFonts w:ascii="Times New Roman" w:cs="Times New Roman" w:eastAsia="Times New Roman" w:hAnsi="Times New Roman"/>
                <w:b/>
                <w:bCs/>
                <w:color w:val="FFFFFF"/>
                <w:sz w:val="22"/>
                <w:szCs w:val="22"/>
              </w:rPr>
              <w:t xml:space="preserve">Role in the Project</w:t>
            </w:r>
          </w:p>
        </w:tc>
      </w:tr>
      <w:tr>
        <w:tc>
          <w:tcPr>
            <w:tcW w:type="dxa" w:w="32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Python</w:t>
            </w:r>
          </w:p>
        </w:tc>
        <w:tc>
          <w:tcPr>
            <w:tcW w:type="dxa" w:w="28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Programming Language</w:t>
            </w:r>
          </w:p>
        </w:tc>
        <w:tc>
          <w:tcPr>
            <w:tcW w:type="dxa" w:w="36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Core language used for data cleaning, preprocessing, and exploratory analysis</w:t>
            </w:r>
          </w:p>
        </w:tc>
      </w:tr>
      <w:tr>
        <w:tc>
          <w:tcPr>
            <w:tcW w:type="dxa" w:w="32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Pandas</w:t>
            </w:r>
          </w:p>
        </w:tc>
        <w:tc>
          <w:tcPr>
            <w:tcW w:type="dxa" w:w="28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Python Library</w:t>
            </w:r>
          </w:p>
        </w:tc>
        <w:tc>
          <w:tcPr>
            <w:tcW w:type="dxa" w:w="36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Used for data manipulation, cleaning, transformation, and structuring of tabular data</w:t>
            </w:r>
          </w:p>
        </w:tc>
      </w:tr>
      <w:tr>
        <w:tc>
          <w:tcPr>
            <w:tcW w:type="dxa" w:w="32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NumPy</w:t>
            </w:r>
          </w:p>
        </w:tc>
        <w:tc>
          <w:tcPr>
            <w:tcW w:type="dxa" w:w="28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Python Library</w:t>
            </w:r>
          </w:p>
        </w:tc>
        <w:tc>
          <w:tcPr>
            <w:tcW w:type="dxa" w:w="36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Used for numerical computation and efficient handling of array-based operations</w:t>
            </w:r>
          </w:p>
        </w:tc>
      </w:tr>
      <w:tr>
        <w:tc>
          <w:tcPr>
            <w:tcW w:type="dxa" w:w="32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Matplotlib</w:t>
            </w:r>
          </w:p>
        </w:tc>
        <w:tc>
          <w:tcPr>
            <w:tcW w:type="dxa" w:w="28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Python Library</w:t>
            </w:r>
          </w:p>
        </w:tc>
        <w:tc>
          <w:tcPr>
            <w:tcW w:type="dxa" w:w="36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Used for exploratory data visualisation prior to dashboard development</w:t>
            </w:r>
          </w:p>
        </w:tc>
      </w:tr>
      <w:tr>
        <w:tc>
          <w:tcPr>
            <w:tcW w:type="dxa" w:w="32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MySQL</w:t>
            </w:r>
          </w:p>
        </w:tc>
        <w:tc>
          <w:tcPr>
            <w:tcW w:type="dxa" w:w="28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Relational Database</w:t>
            </w:r>
          </w:p>
        </w:tc>
        <w:tc>
          <w:tcPr>
            <w:tcW w:type="dxa" w:w="36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Used to design and host the structured Netflix content database</w:t>
            </w:r>
          </w:p>
        </w:tc>
      </w:tr>
      <w:tr>
        <w:tc>
          <w:tcPr>
            <w:tcW w:type="dxa" w:w="32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SQL</w:t>
            </w:r>
          </w:p>
        </w:tc>
        <w:tc>
          <w:tcPr>
            <w:tcW w:type="dxa" w:w="28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Query Language</w:t>
            </w:r>
          </w:p>
        </w:tc>
        <w:tc>
          <w:tcPr>
            <w:tcW w:type="dxa" w:w="36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Used to author fifty business-oriented analytical queries against the MySQL database</w:t>
            </w:r>
          </w:p>
        </w:tc>
      </w:tr>
      <w:tr>
        <w:tc>
          <w:tcPr>
            <w:tcW w:type="dxa" w:w="32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Microsoft Power BI</w:t>
            </w:r>
          </w:p>
        </w:tc>
        <w:tc>
          <w:tcPr>
            <w:tcW w:type="dxa" w:w="28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Business Intelligence Tool</w:t>
            </w:r>
          </w:p>
        </w:tc>
        <w:tc>
          <w:tcPr>
            <w:tcW w:type="dxa" w:w="36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Used to design and publish the interactive Netflix content performance dashboard</w:t>
            </w:r>
          </w:p>
        </w:tc>
      </w:tr>
    </w:tbl>
    <w:p>
      <w:pPr>
        <w:spacing w:after="200"/>
      </w:pPr>
      <w:r>
        <w:t xml:space="preserve"/>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Each of these tools was selected for its established relevance within the data analytics industry. Python, together with Pandas and NumPy, represents the standard combination for programmatic data wrangling, while MySQL provides a reliable and widely adopted platform for structured data storage. Microsoft Power BI was selected as the visualisation layer owing to its strong adoption within enterprise business intelligence teams and its capability to produce polished, interactive dashboards suitable for stakeholder presentation.</w:t>
      </w:r>
    </w:p>
    <w:p>
      <w:pPr>
        <w:pStyle w:val="Heading1"/>
        <w:pBdr>
          <w:bottom w:val="single" w:color="B1060F" w:sz="8" w:space="6"/>
        </w:pBdr>
        <w:spacing w:after="160" w:before="280" w:line="360" w:lineRule="auto"/>
      </w:pPr>
      <w:r>
        <w:rPr>
          <w:rFonts w:ascii="Times New Roman" w:cs="Times New Roman" w:eastAsia="Times New Roman" w:hAnsi="Times New Roman"/>
          <w:b/>
          <w:bCs/>
          <w:color w:val="8C0A11"/>
          <w:sz w:val="32"/>
          <w:szCs w:val="32"/>
        </w:rPr>
        <w:t xml:space="preserve">7. Methodology</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The project followed a structured, sequential methodology consistent with standard industry practice for data analytics engagements, ensuring that each stage built logically upon the outputs of the preceding stage and that data integrity was preserved throughout the project lifecycle. The six stages of this methodology are summarised below, with each stage described in greater technical detail in the corresponding dedicated section of this report.</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The methodology began with data acquisition, during which the raw “Netflix Movies Detailed up to 2025” dataset, comprising sixteen thousand records, was obtained and inspected to understand its structure, column composition, and overall data quality. This was followed by a data cleaning and preprocessing stage, in which Python, together with the Pandas and NumPy libraries, was used to systematically address missing values, duplicate records, inconsistent data types, and irregular categorical entries, as described in detail in Section 8.</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Following the cleaning process, an exploratory data analysis stage was carried out using Matplotlib to visually examine the distribution of key variables, including release year trends, country-wise content counts, and rating distributions, thereby informing the subsequent design of both the SQL queries and the Power BI dashboard. The cleaned dataset was then loaded into a purpose-designed MySQL database, with an appropriately structured table schema reflecting the seventeen finalised columns, as described in detail in Section 9.</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The fifth stage of the methodology involved SQL-based business analysis, during which a total of fifty business-oriented SQL queries were authored and executed against the MySQL database to extract insights relevant to content trends, geographic distribution, and rating-based performance, as described in detail in Section 10. The methodology concluded with a dashboard development stage, involving the design and development of an interactive Power BI dashboard that consolidates key performance indicators and analytical visuals into a single, cohesive interface styled to reflect Netflix’s brand identity, as presented and interpreted in detail in Section 11.</w:t>
      </w:r>
    </w:p>
    <w:p>
      <w:pPr>
        <w:pStyle w:val="Heading1"/>
        <w:pBdr>
          <w:bottom w:val="single" w:color="B1060F" w:sz="8" w:space="6"/>
        </w:pBdr>
        <w:spacing w:after="160" w:before="280" w:line="360" w:lineRule="auto"/>
      </w:pPr>
      <w:r>
        <w:rPr>
          <w:rFonts w:ascii="Times New Roman" w:cs="Times New Roman" w:eastAsia="Times New Roman" w:hAnsi="Times New Roman"/>
          <w:b/>
          <w:bCs/>
          <w:color w:val="8C0A11"/>
          <w:sz w:val="32"/>
          <w:szCs w:val="32"/>
        </w:rPr>
        <w:t xml:space="preserve">8. Python Data Cleaning Process</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The raw “Netflix Movies Detailed up to 2025” dataset, prior to cleaning, exhibited several common data quality issues typical of large, real-world content datasets. These included missing values in fields such as country of origin and rating, duplicate records arising from repeated data extraction, inconsistent data types across numeric fields such as revenue and budget, and irregular formatting within categorical fields such as country names, where multiple countries were occasionally concatenated into a single string. Addressing these issues in a systematic, reproducible manner was a critical prerequisite for reliable downstream analysis.</w:t>
      </w:r>
    </w:p>
    <w:p>
      <w:pPr>
        <w:pStyle w:val="Heading2"/>
        <w:spacing w:after="100" w:before="160" w:line="360" w:lineRule="auto"/>
      </w:pPr>
      <w:r>
        <w:rPr>
          <w:rFonts w:ascii="Times New Roman" w:cs="Times New Roman" w:eastAsia="Times New Roman" w:hAnsi="Times New Roman"/>
          <w:b/>
          <w:bCs/>
          <w:color w:val="111111"/>
          <w:sz w:val="28"/>
          <w:szCs w:val="28"/>
        </w:rPr>
        <w:t xml:space="preserve">8.1 Handling Missing Values</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Missing values were identified across several columns using Pandas’ null-detection utilities, and an appropriate treatment strategy was applied on a column-by-column basis. For categorical fields such as country of origin, missing entries were retained under a clearly labelled “Unknown” category rather than being discarded outright, so as to preserve the completeness of the record count while ensuring that such records did not distort geographic analysis. For numeric fields where a small proportion of values were missing, appropriate imputation or exclusion strategies were applied depending on the significance of the field to the overall analysis, ensuring that the integrity of aggregate metrics such as average rating and average popularity was not compromised.</w:t>
      </w:r>
    </w:p>
    <w:p>
      <w:pPr>
        <w:pStyle w:val="Heading2"/>
        <w:spacing w:after="100" w:before="160" w:line="360" w:lineRule="auto"/>
      </w:pPr>
      <w:r>
        <w:rPr>
          <w:rFonts w:ascii="Times New Roman" w:cs="Times New Roman" w:eastAsia="Times New Roman" w:hAnsi="Times New Roman"/>
          <w:b/>
          <w:bCs/>
          <w:color w:val="111111"/>
          <w:sz w:val="28"/>
          <w:szCs w:val="28"/>
        </w:rPr>
        <w:t xml:space="preserve">8.2 Removing Duplicate Records</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Duplicate records were identified through a combination of exact row-level duplication checks and identifier-based checks against the unique show identifier field. Any duplicate entries detected were removed using Pandas’ duplicate-handling functions, ensuring that each title was represented only once within the final cleaned dataset and thereby preventing the inflation of count-based metrics such as total movies and country-wise content counts.</w:t>
      </w:r>
    </w:p>
    <w:p>
      <w:pPr>
        <w:pStyle w:val="Heading2"/>
        <w:spacing w:after="100" w:before="160" w:line="360" w:lineRule="auto"/>
      </w:pPr>
      <w:r>
        <w:rPr>
          <w:rFonts w:ascii="Times New Roman" w:cs="Times New Roman" w:eastAsia="Times New Roman" w:hAnsi="Times New Roman"/>
          <w:b/>
          <w:bCs/>
          <w:color w:val="111111"/>
          <w:sz w:val="28"/>
          <w:szCs w:val="28"/>
        </w:rPr>
        <w:t xml:space="preserve">8.3 Correcting Data Types</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Several fields within the raw dataset were stored using inconsistent or incorrect data types, such as numeric fields represented as text strings. Using Pandas’ type-conversion functions in conjunction with NumPy, these fields were systematically converted to their appropriate numeric or categorical types. This step was essential to ensure that subsequent aggregation operations, both within Python and within the downstream MySQL and Power BI environments, produced numerically accurate results rather than being silently miscalculated or excluded due to type mismatches.</w:t>
      </w:r>
    </w:p>
    <w:p>
      <w:pPr>
        <w:pStyle w:val="Heading2"/>
        <w:spacing w:after="100" w:before="160" w:line="360" w:lineRule="auto"/>
      </w:pPr>
      <w:r>
        <w:rPr>
          <w:rFonts w:ascii="Times New Roman" w:cs="Times New Roman" w:eastAsia="Times New Roman" w:hAnsi="Times New Roman"/>
          <w:b/>
          <w:bCs/>
          <w:color w:val="111111"/>
          <w:sz w:val="28"/>
          <w:szCs w:val="28"/>
        </w:rPr>
        <w:t xml:space="preserve">8.4 Standardising Categorical Fields</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Categorical fields, particularly the country field, were standardised to ensure consistent naming conventions across the dataset. Where multiple countries were associated with a single title, these were retained as combined entries but flagged for appropriate handling during visualisation, ensuring that the resulting country-wise breakdown in the dashboard accurately reflected the underlying data without artificially fragmenting or merging distinct country groupings.</w:t>
      </w:r>
    </w:p>
    <w:p>
      <w:pPr>
        <w:pStyle w:val="Heading2"/>
        <w:spacing w:after="100" w:before="160" w:line="360" w:lineRule="auto"/>
      </w:pPr>
      <w:r>
        <w:rPr>
          <w:rFonts w:ascii="Times New Roman" w:cs="Times New Roman" w:eastAsia="Times New Roman" w:hAnsi="Times New Roman"/>
          <w:b/>
          <w:bCs/>
          <w:color w:val="111111"/>
          <w:sz w:val="28"/>
          <w:szCs w:val="28"/>
        </w:rPr>
        <w:t xml:space="preserve">8.5 Column Selection and Finalisation</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Following the cleaning and standardisation steps described above, the dataset was reduced from its original, broader column set to a finalised structure of seventeen columns considered most relevant to the analytical objectives of the project. This finalised structure retained core identifier fields, temporal fields, geographic fields, rating and popularity fields, and financial performance fields, while removing redundant or low-value columns that did not contribute meaningfully to the business analysis.</w:t>
      </w:r>
    </w:p>
    <w:p>
      <w:pPr>
        <w:pStyle w:val="Heading2"/>
        <w:spacing w:after="100" w:before="160" w:line="360" w:lineRule="auto"/>
      </w:pPr>
      <w:r>
        <w:rPr>
          <w:rFonts w:ascii="Times New Roman" w:cs="Times New Roman" w:eastAsia="Times New Roman" w:hAnsi="Times New Roman"/>
          <w:b/>
          <w:bCs/>
          <w:color w:val="111111"/>
          <w:sz w:val="28"/>
          <w:szCs w:val="28"/>
        </w:rPr>
        <w:t xml:space="preserve">8.6 Exploratory Visualisation with Matplotlib</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Prior to exporting the cleaned dataset for database loading, exploratory visualisations were generated using Matplotlib to validate the outcome of the cleaning process. Histograms and trend plots were used to confirm that the distribution of release years, ratings, and popularity scores appeared reasonable and free from obvious anomalies, while bar charts were used to perform an initial review of country-wise content distribution. This exploratory step provided an important quality checkpoint prior to proceeding to the database design and SQL analysis stages of the project.</w:t>
      </w:r>
    </w:p>
    <w:p>
      <w:pPr>
        <w:pStyle w:val="Heading1"/>
        <w:pBdr>
          <w:bottom w:val="single" w:color="B1060F" w:sz="8" w:space="6"/>
        </w:pBdr>
        <w:spacing w:after="160" w:before="280" w:line="360" w:lineRule="auto"/>
      </w:pPr>
      <w:r>
        <w:rPr>
          <w:rFonts w:ascii="Times New Roman" w:cs="Times New Roman" w:eastAsia="Times New Roman" w:hAnsi="Times New Roman"/>
          <w:b/>
          <w:bCs/>
          <w:color w:val="8C0A11"/>
          <w:sz w:val="32"/>
          <w:szCs w:val="32"/>
        </w:rPr>
        <w:t xml:space="preserve">9. MySQL Database Design</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Following the completion of the Python-based data cleaning process, the refined dataset was loaded into a dedicated MySQL database in order to enable structured, query-based analysis. The database was named to reflect the subject matter of the project and was designed around a single, well-structured primary table capable of supporting the full range of business questions defined in the project objectives.</w:t>
      </w:r>
    </w:p>
    <w:p>
      <w:pPr>
        <w:pStyle w:val="Heading2"/>
        <w:spacing w:after="100" w:before="160" w:line="360" w:lineRule="auto"/>
      </w:pPr>
      <w:r>
        <w:rPr>
          <w:rFonts w:ascii="Times New Roman" w:cs="Times New Roman" w:eastAsia="Times New Roman" w:hAnsi="Times New Roman"/>
          <w:b/>
          <w:bCs/>
          <w:color w:val="111111"/>
          <w:sz w:val="28"/>
          <w:szCs w:val="28"/>
        </w:rPr>
        <w:t xml:space="preserve">9.1 Database and Table Structure</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The MySQL database, referred to throughout this project as the Netflix content analysis database, was structured around a primary table named to reflect the cleaned Netflix content dataset. This table was designed to hold all seventeen finalised columns produced through the Python cleaning process, with appropriate column data types assigned to each field, including integer types for identifier and count-based fields, decimal types for financial and rating fields, and variable-character types for textual and categorical fields such as title, country, and content classification.</w:t>
      </w:r>
    </w:p>
    <w:tbl>
      <w:tblPr>
        <w:tblW w:type="dxa" w:w="9600"/>
        <w:tblBorders>
          <w:top w:val="single" w:color="999999" w:sz="4"/>
          <w:left w:val="single" w:color="999999" w:sz="4"/>
          <w:bottom w:val="single" w:color="999999" w:sz="4"/>
          <w:right w:val="single" w:color="999999" w:sz="4"/>
          <w:insideH w:val="single" w:color="CCCCCC" w:sz="4"/>
          <w:insideV w:val="single" w:color="CCCCCC" w:sz="4"/>
        </w:tblBorders>
      </w:tblPr>
      <w:tblGrid>
        <w:gridCol w:w="3500"/>
        <w:gridCol w:w="6100"/>
      </w:tblGrid>
      <w:tr>
        <w:trPr>
          <w:tblHeader/>
        </w:trPr>
        <w:tc>
          <w:tcPr>
            <w:tcW w:type="dxa" w:w="3500"/>
            <w:shd w:fill="B1060F" w:val="clear"/>
            <w:tcMar>
              <w:top w:type="dxa" w:w="100"/>
              <w:left w:type="dxa" w:w="120"/>
              <w:bottom w:type="dxa" w:w="100"/>
              <w:right w:type="dxa" w:w="120"/>
            </w:tcMar>
            <w:vAlign w:val="center"/>
          </w:tcPr>
          <w:p>
            <w:pPr>
              <w:spacing w:line="276" w:lineRule="auto"/>
              <w:jc w:val="center"/>
            </w:pPr>
            <w:r>
              <w:rPr>
                <w:rFonts w:ascii="Times New Roman" w:cs="Times New Roman" w:eastAsia="Times New Roman" w:hAnsi="Times New Roman"/>
                <w:b/>
                <w:bCs/>
                <w:color w:val="FFFFFF"/>
                <w:sz w:val="22"/>
                <w:szCs w:val="22"/>
              </w:rPr>
              <w:t xml:space="preserve">Design Element</w:t>
            </w:r>
          </w:p>
        </w:tc>
        <w:tc>
          <w:tcPr>
            <w:tcW w:type="dxa" w:w="6100"/>
            <w:shd w:fill="B1060F" w:val="clear"/>
            <w:tcMar>
              <w:top w:type="dxa" w:w="100"/>
              <w:left w:type="dxa" w:w="120"/>
              <w:bottom w:type="dxa" w:w="100"/>
              <w:right w:type="dxa" w:w="120"/>
            </w:tcMar>
            <w:vAlign w:val="center"/>
          </w:tcPr>
          <w:p>
            <w:pPr>
              <w:spacing w:line="276" w:lineRule="auto"/>
              <w:jc w:val="center"/>
            </w:pPr>
            <w:r>
              <w:rPr>
                <w:rFonts w:ascii="Times New Roman" w:cs="Times New Roman" w:eastAsia="Times New Roman" w:hAnsi="Times New Roman"/>
                <w:b/>
                <w:bCs/>
                <w:color w:val="FFFFFF"/>
                <w:sz w:val="22"/>
                <w:szCs w:val="22"/>
              </w:rPr>
              <w:t xml:space="preserve">Specification</w:t>
            </w:r>
          </w:p>
        </w:tc>
      </w:tr>
      <w:tr>
        <w:tc>
          <w:tcPr>
            <w:tcW w:type="dxa" w:w="35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Database Name</w:t>
            </w:r>
          </w:p>
        </w:tc>
        <w:tc>
          <w:tcPr>
            <w:tcW w:type="dxa" w:w="61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netflix_content_analysis</w:t>
            </w:r>
          </w:p>
        </w:tc>
      </w:tr>
      <w:tr>
        <w:tc>
          <w:tcPr>
            <w:tcW w:type="dxa" w:w="35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Primary Table</w:t>
            </w:r>
          </w:p>
        </w:tc>
        <w:tc>
          <w:tcPr>
            <w:tcW w:type="dxa" w:w="61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netflix_content</w:t>
            </w:r>
          </w:p>
        </w:tc>
      </w:tr>
      <w:tr>
        <w:tc>
          <w:tcPr>
            <w:tcW w:type="dxa" w:w="35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Total Columns</w:t>
            </w:r>
          </w:p>
        </w:tc>
        <w:tc>
          <w:tcPr>
            <w:tcW w:type="dxa" w:w="61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17 (finalised after cleaning)</w:t>
            </w:r>
          </w:p>
        </w:tc>
      </w:tr>
      <w:tr>
        <w:tc>
          <w:tcPr>
            <w:tcW w:type="dxa" w:w="35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Total Records Loaded</w:t>
            </w:r>
          </w:p>
        </w:tc>
        <w:tc>
          <w:tcPr>
            <w:tcW w:type="dxa" w:w="61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16,000</w:t>
            </w:r>
          </w:p>
        </w:tc>
      </w:tr>
      <w:tr>
        <w:tc>
          <w:tcPr>
            <w:tcW w:type="dxa" w:w="35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Primary Key</w:t>
            </w:r>
          </w:p>
        </w:tc>
        <w:tc>
          <w:tcPr>
            <w:tcW w:type="dxa" w:w="61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show_id (unique content identifier)</w:t>
            </w:r>
          </w:p>
        </w:tc>
      </w:tr>
      <w:tr>
        <w:tc>
          <w:tcPr>
            <w:tcW w:type="dxa" w:w="35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Key Analytical Columns</w:t>
            </w:r>
          </w:p>
        </w:tc>
        <w:tc>
          <w:tcPr>
            <w:tcW w:type="dxa" w:w="61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release_year, country, rating, popularity, revenue, budget</w:t>
            </w:r>
          </w:p>
        </w:tc>
      </w:tr>
    </w:tbl>
    <w:p>
      <w:pPr>
        <w:spacing w:after="200"/>
      </w:pPr>
      <w:r>
        <w:t xml:space="preserve"/>
      </w:r>
    </w:p>
    <w:p>
      <w:pPr>
        <w:pStyle w:val="Heading2"/>
        <w:spacing w:after="100" w:before="160" w:line="360" w:lineRule="auto"/>
      </w:pPr>
      <w:r>
        <w:rPr>
          <w:rFonts w:ascii="Times New Roman" w:cs="Times New Roman" w:eastAsia="Times New Roman" w:hAnsi="Times New Roman"/>
          <w:b/>
          <w:bCs/>
          <w:color w:val="111111"/>
          <w:sz w:val="28"/>
          <w:szCs w:val="28"/>
        </w:rPr>
        <w:t xml:space="preserve">9.2 Data Loading and Validation</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The cleaned dataset, exported from the Python environment in a structured tabular format, was imported into the MySQL database using standard bulk-loading procedures. Following the import, a series of validation checks were performed directly within MySQL, including row count verification against the expected sixteen thousand records, null-value spot checks on key analytical columns, and range checks on numeric fields such as release year and rating to confirm that no invalid or out-of-range values had been introduced during the loading process.</w:t>
      </w:r>
    </w:p>
    <w:p>
      <w:pPr>
        <w:pStyle w:val="Heading2"/>
        <w:spacing w:after="100" w:before="160" w:line="360" w:lineRule="auto"/>
      </w:pPr>
      <w:r>
        <w:rPr>
          <w:rFonts w:ascii="Times New Roman" w:cs="Times New Roman" w:eastAsia="Times New Roman" w:hAnsi="Times New Roman"/>
          <w:b/>
          <w:bCs/>
          <w:color w:val="111111"/>
          <w:sz w:val="28"/>
          <w:szCs w:val="28"/>
        </w:rPr>
        <w:t xml:space="preserve">9.3 Indexing and Query Optimisation</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Given that the primary table would be subject to a substantial number of analytical queries, appropriate indexing was applied to frequently filtered and grouped columns, including the release year and country fields, in order to improve query execution performance. This design consideration ensured that the subsequent execution of fifty business-oriented SQL queries, several of which involved grouping and aggregation across the full sixteen-thousand-record dataset, could be performed efficiently.</w:t>
      </w:r>
    </w:p>
    <w:p>
      <w:pPr>
        <w:pStyle w:val="Heading2"/>
        <w:spacing w:after="100" w:before="160" w:line="360" w:lineRule="auto"/>
      </w:pPr>
      <w:r>
        <w:rPr>
          <w:rFonts w:ascii="Times New Roman" w:cs="Times New Roman" w:eastAsia="Times New Roman" w:hAnsi="Times New Roman"/>
          <w:b/>
          <w:bCs/>
          <w:color w:val="111111"/>
          <w:sz w:val="28"/>
          <w:szCs w:val="28"/>
        </w:rPr>
        <w:t xml:space="preserve">9.4 Rationale for Relational Storage</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The decision to employ a relational database, rather than continuing to work directly with flat files, was driven by the need for a robust, query-optimised environment capable of supporting complex, multi-condition business questions. A relational structure also provided a natural bridge between the Python-based cleaning stage and the Power BI-based visualisation stage, as Power BI is capable of connecting directly to MySQL databases, thereby ensuring that the dashboard reflected a single, consistent, and centrally governed version of the cleaned data.</w:t>
      </w:r>
    </w:p>
    <w:p>
      <w:pPr>
        <w:pStyle w:val="Heading1"/>
        <w:pBdr>
          <w:bottom w:val="single" w:color="B1060F" w:sz="8" w:space="6"/>
        </w:pBdr>
        <w:spacing w:after="160" w:before="280" w:line="360" w:lineRule="auto"/>
      </w:pPr>
      <w:r>
        <w:rPr>
          <w:rFonts w:ascii="Times New Roman" w:cs="Times New Roman" w:eastAsia="Times New Roman" w:hAnsi="Times New Roman"/>
          <w:b/>
          <w:bCs/>
          <w:color w:val="8C0A11"/>
          <w:sz w:val="32"/>
          <w:szCs w:val="32"/>
        </w:rPr>
        <w:t xml:space="preserve">10. SQL Analysis</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A comprehensive set of fifty professionally constructed business SQL queries was designed and executed against the netflix_content table within the MySQL database. These queries were developed to address a wide spectrum of analytical questions relevant to content strategy, geographic distribution, temporal trends, and performance evaluation, and collectively represent one of the most substantial components of the analytical work undertaken during this internship.</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The fifty queries were organised into logical thematic categories in order to ensure comprehensive coverage of the dataset’s analytical potential, ranging from foundational descriptive queries to more advanced analytical constructs involving window functions, subqueries, and multi-table style aggregations achieved through grouping and derived tables. The table below summarises the thematic categories into which the fifty queries were grouped, along with representative examples of the business questions addressed within each category.</w:t>
      </w:r>
    </w:p>
    <w:tbl>
      <w:tblPr>
        <w:tblW w:type="dxa" w:w="9100"/>
        <w:tblBorders>
          <w:top w:val="single" w:color="999999" w:sz="4"/>
          <w:left w:val="single" w:color="999999" w:sz="4"/>
          <w:bottom w:val="single" w:color="999999" w:sz="4"/>
          <w:right w:val="single" w:color="999999" w:sz="4"/>
          <w:insideH w:val="single" w:color="CCCCCC" w:sz="4"/>
          <w:insideV w:val="single" w:color="CCCCCC" w:sz="4"/>
        </w:tblBorders>
      </w:tblPr>
      <w:tblGrid>
        <w:gridCol w:w="3300"/>
        <w:gridCol w:w="1600"/>
        <w:gridCol w:w="4200"/>
      </w:tblGrid>
      <w:tr>
        <w:trPr>
          <w:tblHeader/>
        </w:trPr>
        <w:tc>
          <w:tcPr>
            <w:tcW w:type="dxa" w:w="3300"/>
            <w:shd w:fill="B1060F" w:val="clear"/>
            <w:tcMar>
              <w:top w:type="dxa" w:w="100"/>
              <w:left w:type="dxa" w:w="120"/>
              <w:bottom w:type="dxa" w:w="100"/>
              <w:right w:type="dxa" w:w="120"/>
            </w:tcMar>
            <w:vAlign w:val="center"/>
          </w:tcPr>
          <w:p>
            <w:pPr>
              <w:spacing w:line="276" w:lineRule="auto"/>
              <w:jc w:val="center"/>
            </w:pPr>
            <w:r>
              <w:rPr>
                <w:rFonts w:ascii="Times New Roman" w:cs="Times New Roman" w:eastAsia="Times New Roman" w:hAnsi="Times New Roman"/>
                <w:b/>
                <w:bCs/>
                <w:color w:val="FFFFFF"/>
                <w:sz w:val="22"/>
                <w:szCs w:val="22"/>
              </w:rPr>
              <w:t xml:space="preserve">Query Category</w:t>
            </w:r>
          </w:p>
        </w:tc>
        <w:tc>
          <w:tcPr>
            <w:tcW w:type="dxa" w:w="1600"/>
            <w:shd w:fill="B1060F" w:val="clear"/>
            <w:tcMar>
              <w:top w:type="dxa" w:w="100"/>
              <w:left w:type="dxa" w:w="120"/>
              <w:bottom w:type="dxa" w:w="100"/>
              <w:right w:type="dxa" w:w="120"/>
            </w:tcMar>
            <w:vAlign w:val="center"/>
          </w:tcPr>
          <w:p>
            <w:pPr>
              <w:spacing w:line="276" w:lineRule="auto"/>
              <w:jc w:val="center"/>
            </w:pPr>
            <w:r>
              <w:rPr>
                <w:rFonts w:ascii="Times New Roman" w:cs="Times New Roman" w:eastAsia="Times New Roman" w:hAnsi="Times New Roman"/>
                <w:b/>
                <w:bCs/>
                <w:color w:val="FFFFFF"/>
                <w:sz w:val="22"/>
                <w:szCs w:val="22"/>
              </w:rPr>
              <w:t xml:space="preserve">Approx. Queries</w:t>
            </w:r>
          </w:p>
        </w:tc>
        <w:tc>
          <w:tcPr>
            <w:tcW w:type="dxa" w:w="4200"/>
            <w:shd w:fill="B1060F" w:val="clear"/>
            <w:tcMar>
              <w:top w:type="dxa" w:w="100"/>
              <w:left w:type="dxa" w:w="120"/>
              <w:bottom w:type="dxa" w:w="100"/>
              <w:right w:type="dxa" w:w="120"/>
            </w:tcMar>
            <w:vAlign w:val="center"/>
          </w:tcPr>
          <w:p>
            <w:pPr>
              <w:spacing w:line="276" w:lineRule="auto"/>
              <w:jc w:val="center"/>
            </w:pPr>
            <w:r>
              <w:rPr>
                <w:rFonts w:ascii="Times New Roman" w:cs="Times New Roman" w:eastAsia="Times New Roman" w:hAnsi="Times New Roman"/>
                <w:b/>
                <w:bCs/>
                <w:color w:val="FFFFFF"/>
                <w:sz w:val="22"/>
                <w:szCs w:val="22"/>
              </w:rPr>
              <w:t xml:space="preserve">Representative Business Questions Addressed</w:t>
            </w:r>
          </w:p>
        </w:tc>
      </w:tr>
      <w:tr>
        <w:tc>
          <w:tcPr>
            <w:tcW w:type="dxa" w:w="33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Descriptive and Summary Statistics</w:t>
            </w:r>
          </w:p>
        </w:tc>
        <w:tc>
          <w:tcPr>
            <w:tcW w:type="dxa" w:w="16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8</w:t>
            </w:r>
          </w:p>
        </w:tc>
        <w:tc>
          <w:tcPr>
            <w:tcW w:type="dxa" w:w="42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Total number of titles; average rating, popularity, revenue, and budget across the library</w:t>
            </w:r>
          </w:p>
        </w:tc>
      </w:tr>
      <w:tr>
        <w:tc>
          <w:tcPr>
            <w:tcW w:type="dxa" w:w="33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Temporal / Release Year Trends</w:t>
            </w:r>
          </w:p>
        </w:tc>
        <w:tc>
          <w:tcPr>
            <w:tcW w:type="dxa" w:w="16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9</w:t>
            </w:r>
          </w:p>
        </w:tc>
        <w:tc>
          <w:tcPr>
            <w:tcW w:type="dxa" w:w="42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Year-on-year growth in content additions; identification of peak content release years</w:t>
            </w:r>
          </w:p>
        </w:tc>
      </w:tr>
      <w:tr>
        <w:tc>
          <w:tcPr>
            <w:tcW w:type="dxa" w:w="33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Geographic / Country-Wise Analysis</w:t>
            </w:r>
          </w:p>
        </w:tc>
        <w:tc>
          <w:tcPr>
            <w:tcW w:type="dxa" w:w="16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9</w:t>
            </w:r>
          </w:p>
        </w:tc>
        <w:tc>
          <w:tcPr>
            <w:tcW w:type="dxa" w:w="42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Ranking of countries by content volume; identification of top contributing regions</w:t>
            </w:r>
          </w:p>
        </w:tc>
      </w:tr>
      <w:tr>
        <w:tc>
          <w:tcPr>
            <w:tcW w:type="dxa" w:w="33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Rating and Popularity Analysis</w:t>
            </w:r>
          </w:p>
        </w:tc>
        <w:tc>
          <w:tcPr>
            <w:tcW w:type="dxa" w:w="16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8</w:t>
            </w:r>
          </w:p>
        </w:tc>
        <w:tc>
          <w:tcPr>
            <w:tcW w:type="dxa" w:w="42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Distribution of titles across rating bands; correlation between popularity and rating</w:t>
            </w:r>
          </w:p>
        </w:tc>
      </w:tr>
      <w:tr>
        <w:tc>
          <w:tcPr>
            <w:tcW w:type="dxa" w:w="33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Financial Performance Analysis</w:t>
            </w:r>
          </w:p>
        </w:tc>
        <w:tc>
          <w:tcPr>
            <w:tcW w:type="dxa" w:w="16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8</w:t>
            </w:r>
          </w:p>
        </w:tc>
        <w:tc>
          <w:tcPr>
            <w:tcW w:type="dxa" w:w="42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Revenue and budget analysis; identification of highest and lowest performing titles</w:t>
            </w:r>
          </w:p>
        </w:tc>
      </w:tr>
      <w:tr>
        <w:tc>
          <w:tcPr>
            <w:tcW w:type="dxa" w:w="33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Advanced Analytical Queries</w:t>
            </w:r>
          </w:p>
        </w:tc>
        <w:tc>
          <w:tcPr>
            <w:tcW w:type="dxa" w:w="16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8</w:t>
            </w:r>
          </w:p>
        </w:tc>
        <w:tc>
          <w:tcPr>
            <w:tcW w:type="dxa" w:w="42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Window-function-based rankings, running totals, and multi-condition segment analysis</w:t>
            </w:r>
          </w:p>
        </w:tc>
      </w:tr>
    </w:tbl>
    <w:p>
      <w:pPr>
        <w:spacing w:after="200"/>
      </w:pPr>
      <w:r>
        <w:t xml:space="preserve"/>
      </w:r>
    </w:p>
    <w:p>
      <w:pPr>
        <w:pStyle w:val="Heading2"/>
        <w:spacing w:after="100" w:before="160" w:line="360" w:lineRule="auto"/>
      </w:pPr>
      <w:r>
        <w:rPr>
          <w:rFonts w:ascii="Times New Roman" w:cs="Times New Roman" w:eastAsia="Times New Roman" w:hAnsi="Times New Roman"/>
          <w:b/>
          <w:bCs/>
          <w:color w:val="111111"/>
          <w:sz w:val="28"/>
          <w:szCs w:val="28"/>
        </w:rPr>
        <w:t xml:space="preserve">10.1 Approach to Query Design</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Each of the fifty queries was constructed with a specific, clearly articulated business question in mind, rather than being generated as a generic technical exercise. Standard SQL constructs, including aggregate functions such as COUNT, SUM, AVG, MIN, and MAX, grouping operations using GROUP BY, filtering conditions using WHERE and HAVING clauses, and ordering operations using ORDER BY, formed the foundation of the majority of the queries. More advanced queries incorporated subqueries and derived tables to answer multi-step business questions, such as identifying countries whose average content rating exceeded the platform-wide average, or ranking release years by year-on-year growth in content additions.</w:t>
      </w:r>
    </w:p>
    <w:p>
      <w:pPr>
        <w:pStyle w:val="Heading2"/>
        <w:spacing w:after="100" w:before="160" w:line="360" w:lineRule="auto"/>
      </w:pPr>
      <w:r>
        <w:rPr>
          <w:rFonts w:ascii="Times New Roman" w:cs="Times New Roman" w:eastAsia="Times New Roman" w:hAnsi="Times New Roman"/>
          <w:b/>
          <w:bCs/>
          <w:color w:val="111111"/>
          <w:sz w:val="28"/>
          <w:szCs w:val="28"/>
        </w:rPr>
        <w:t xml:space="preserve">10.2 Illustrative Query Examples</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The following representative examples illustrate the style and structure of the queries developed as part of the fifty-query SQL analysis set. These examples have been selected to demonstrate the range of complexity present within the query set, from foundational aggregation to more advanced analytical logic.</w:t>
      </w:r>
    </w:p>
    <w:tbl>
      <w:tblPr>
        <w:tblW w:type="dxa" w:w="9100"/>
        <w:tblBorders>
          <w:top w:val="single" w:color="999999" w:sz="4"/>
          <w:left w:val="single" w:color="999999" w:sz="4"/>
          <w:bottom w:val="single" w:color="999999" w:sz="4"/>
          <w:right w:val="single" w:color="999999" w:sz="4"/>
          <w:insideH w:val="single" w:color="CCCCCC" w:sz="4"/>
          <w:insideV w:val="single" w:color="CCCCCC" w:sz="4"/>
        </w:tblBorders>
      </w:tblPr>
      <w:tblGrid>
        <w:gridCol w:w="500"/>
        <w:gridCol w:w="5600"/>
        <w:gridCol w:w="3000"/>
      </w:tblGrid>
      <w:tr>
        <w:trPr>
          <w:tblHeader/>
        </w:trPr>
        <w:tc>
          <w:tcPr>
            <w:tcW w:type="dxa" w:w="500"/>
            <w:shd w:fill="B1060F" w:val="clear"/>
            <w:tcMar>
              <w:top w:type="dxa" w:w="100"/>
              <w:left w:type="dxa" w:w="120"/>
              <w:bottom w:type="dxa" w:w="100"/>
              <w:right w:type="dxa" w:w="120"/>
            </w:tcMar>
            <w:vAlign w:val="center"/>
          </w:tcPr>
          <w:p>
            <w:pPr>
              <w:spacing w:line="276" w:lineRule="auto"/>
              <w:jc w:val="center"/>
            </w:pPr>
            <w:r>
              <w:rPr>
                <w:rFonts w:ascii="Times New Roman" w:cs="Times New Roman" w:eastAsia="Times New Roman" w:hAnsi="Times New Roman"/>
                <w:b/>
                <w:bCs/>
                <w:color w:val="FFFFFF"/>
                <w:sz w:val="22"/>
                <w:szCs w:val="22"/>
              </w:rPr>
              <w:t xml:space="preserve">#</w:t>
            </w:r>
          </w:p>
        </w:tc>
        <w:tc>
          <w:tcPr>
            <w:tcW w:type="dxa" w:w="5600"/>
            <w:shd w:fill="B1060F" w:val="clear"/>
            <w:tcMar>
              <w:top w:type="dxa" w:w="100"/>
              <w:left w:type="dxa" w:w="120"/>
              <w:bottom w:type="dxa" w:w="100"/>
              <w:right w:type="dxa" w:w="120"/>
            </w:tcMar>
            <w:vAlign w:val="center"/>
          </w:tcPr>
          <w:p>
            <w:pPr>
              <w:spacing w:line="276" w:lineRule="auto"/>
              <w:jc w:val="center"/>
            </w:pPr>
            <w:r>
              <w:rPr>
                <w:rFonts w:ascii="Times New Roman" w:cs="Times New Roman" w:eastAsia="Times New Roman" w:hAnsi="Times New Roman"/>
                <w:b/>
                <w:bCs/>
                <w:color w:val="FFFFFF"/>
                <w:sz w:val="22"/>
                <w:szCs w:val="22"/>
              </w:rPr>
              <w:t xml:space="preserve">Business Question</w:t>
            </w:r>
          </w:p>
        </w:tc>
        <w:tc>
          <w:tcPr>
            <w:tcW w:type="dxa" w:w="3000"/>
            <w:shd w:fill="B1060F" w:val="clear"/>
            <w:tcMar>
              <w:top w:type="dxa" w:w="100"/>
              <w:left w:type="dxa" w:w="120"/>
              <w:bottom w:type="dxa" w:w="100"/>
              <w:right w:type="dxa" w:w="120"/>
            </w:tcMar>
            <w:vAlign w:val="center"/>
          </w:tcPr>
          <w:p>
            <w:pPr>
              <w:spacing w:line="276" w:lineRule="auto"/>
              <w:jc w:val="center"/>
            </w:pPr>
            <w:r>
              <w:rPr>
                <w:rFonts w:ascii="Times New Roman" w:cs="Times New Roman" w:eastAsia="Times New Roman" w:hAnsi="Times New Roman"/>
                <w:b/>
                <w:bCs/>
                <w:color w:val="FFFFFF"/>
                <w:sz w:val="22"/>
                <w:szCs w:val="22"/>
              </w:rPr>
              <w:t xml:space="preserve">SQL Construct Employed</w:t>
            </w:r>
          </w:p>
        </w:tc>
      </w:tr>
      <w:tr>
        <w:tc>
          <w:tcPr>
            <w:tcW w:type="dxa" w:w="5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1</w:t>
            </w:r>
          </w:p>
        </w:tc>
        <w:tc>
          <w:tcPr>
            <w:tcW w:type="dxa" w:w="56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What is the total number of titles in the cleaned Netflix content library?</w:t>
            </w:r>
          </w:p>
        </w:tc>
        <w:tc>
          <w:tcPr>
            <w:tcW w:type="dxa" w:w="30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COUNT aggregate function on the primary key column</w:t>
            </w:r>
          </w:p>
        </w:tc>
      </w:tr>
      <w:tr>
        <w:tc>
          <w:tcPr>
            <w:tcW w:type="dxa" w:w="5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2</w:t>
            </w:r>
          </w:p>
        </w:tc>
        <w:tc>
          <w:tcPr>
            <w:tcW w:type="dxa" w:w="56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Which release years recorded the highest number of content additions?</w:t>
            </w:r>
          </w:p>
        </w:tc>
        <w:tc>
          <w:tcPr>
            <w:tcW w:type="dxa" w:w="30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GROUP BY release_year with COUNT and ORDER BY DESC</w:t>
            </w:r>
          </w:p>
        </w:tc>
      </w:tr>
      <w:tr>
        <w:tc>
          <w:tcPr>
            <w:tcW w:type="dxa" w:w="5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3</w:t>
            </w:r>
          </w:p>
        </w:tc>
        <w:tc>
          <w:tcPr>
            <w:tcW w:type="dxa" w:w="56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Which countries contribute the largest share of Netflix content?</w:t>
            </w:r>
          </w:p>
        </w:tc>
        <w:tc>
          <w:tcPr>
            <w:tcW w:type="dxa" w:w="30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GROUP BY country with COUNT, ranked in descending order</w:t>
            </w:r>
          </w:p>
        </w:tc>
      </w:tr>
      <w:tr>
        <w:tc>
          <w:tcPr>
            <w:tcW w:type="dxa" w:w="5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4</w:t>
            </w:r>
          </w:p>
        </w:tc>
        <w:tc>
          <w:tcPr>
            <w:tcW w:type="dxa" w:w="56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What is the average content rating across the entire library?</w:t>
            </w:r>
          </w:p>
        </w:tc>
        <w:tc>
          <w:tcPr>
            <w:tcW w:type="dxa" w:w="30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AVG aggregate function on the rating column</w:t>
            </w:r>
          </w:p>
        </w:tc>
      </w:tr>
      <w:tr>
        <w:tc>
          <w:tcPr>
            <w:tcW w:type="dxa" w:w="5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5</w:t>
            </w:r>
          </w:p>
        </w:tc>
        <w:tc>
          <w:tcPr>
            <w:tcW w:type="dxa" w:w="56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Which titles fall within the top three most frequent rating bands?</w:t>
            </w:r>
          </w:p>
        </w:tc>
        <w:tc>
          <w:tcPr>
            <w:tcW w:type="dxa" w:w="30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GROUP BY rating with COUNT, filtered to top three results</w:t>
            </w:r>
          </w:p>
        </w:tc>
      </w:tr>
      <w:tr>
        <w:tc>
          <w:tcPr>
            <w:tcW w:type="dxa" w:w="5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6</w:t>
            </w:r>
          </w:p>
        </w:tc>
        <w:tc>
          <w:tcPr>
            <w:tcW w:type="dxa" w:w="56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What is the total revenue and total budget generated across all titles?</w:t>
            </w:r>
          </w:p>
        </w:tc>
        <w:tc>
          <w:tcPr>
            <w:tcW w:type="dxa" w:w="30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SUM aggregate function on revenue and budget columns</w:t>
            </w:r>
          </w:p>
        </w:tc>
      </w:tr>
      <w:tr>
        <w:tc>
          <w:tcPr>
            <w:tcW w:type="dxa" w:w="5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7</w:t>
            </w:r>
          </w:p>
        </w:tc>
        <w:tc>
          <w:tcPr>
            <w:tcW w:type="dxa" w:w="56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Which countries have an average rating above the overall platform average?</w:t>
            </w:r>
          </w:p>
        </w:tc>
        <w:tc>
          <w:tcPr>
            <w:tcW w:type="dxa" w:w="30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Subquery comparing country-level AVG against a derived overall AVG</w:t>
            </w:r>
          </w:p>
        </w:tc>
      </w:tr>
      <w:tr>
        <w:tc>
          <w:tcPr>
            <w:tcW w:type="dxa" w:w="5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8</w:t>
            </w:r>
          </w:p>
        </w:tc>
        <w:tc>
          <w:tcPr>
            <w:tcW w:type="dxa" w:w="56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What is the year-on-year percentage growth in content additions?</w:t>
            </w:r>
          </w:p>
        </w:tc>
        <w:tc>
          <w:tcPr>
            <w:tcW w:type="dxa" w:w="30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Window function (LAG) combined with derived percentage change calculation</w:t>
            </w:r>
          </w:p>
        </w:tc>
      </w:tr>
    </w:tbl>
    <w:p>
      <w:pPr>
        <w:spacing w:after="200"/>
      </w:pPr>
      <w:r>
        <w:t xml:space="preserve"/>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The complete set of fifty queries, inclusive of the examples presented above, was executed successfully against the MySQL database, with results validated against the exploratory findings obtained during the Python-based analysis stage. The insights generated through this SQL analysis directly informed the design and content of the Power BI dashboard discussed in Section 11, ensuring that the visual dashboard was firmly grounded in a rigorously query-validated analytical foundation.</w:t>
      </w:r>
    </w:p>
    <w:p>
      <w:pPr>
        <w:pStyle w:val="Heading1"/>
        <w:pBdr>
          <w:bottom w:val="single" w:color="B1060F" w:sz="8" w:space="6"/>
        </w:pBdr>
        <w:spacing w:after="160" w:before="280" w:line="360" w:lineRule="auto"/>
      </w:pPr>
      <w:r>
        <w:rPr>
          <w:rFonts w:ascii="Times New Roman" w:cs="Times New Roman" w:eastAsia="Times New Roman" w:hAnsi="Times New Roman"/>
          <w:b/>
          <w:bCs/>
          <w:color w:val="8C0A11"/>
          <w:sz w:val="32"/>
          <w:szCs w:val="32"/>
        </w:rPr>
        <w:t xml:space="preserve">11. Power BI Dashboard</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The culmination of the analytical workflow described in the preceding sections was the design and development of a single, consolidated Power BI dashboard titled “Netflix Content and Performance Analysis.” The dashboard was designed with a dark, high-contrast visual theme employing black backgrounds with red accent framing, deliberately chosen to reflect the Netflix brand identity and to produce a visually polished, presentation-ready interface suitable for stakeholder review. The dashboard consolidates six key performance indicator cards and three principal analytical visuals onto a single screen, enabling a viewer to absorb the overall content and performance profile of the Netflix library within moments of viewing.</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The dashboard is reproduced below, followed by a detailed, section-by-section interpretation of each key performance indicator and visual element, together with the specific business insight that each component is intended to convey.</w:t>
      </w:r>
    </w:p>
    <w:p>
      <w:pPr>
        <w:spacing w:after="200"/>
      </w:pPr>
      <w:r>
        <w:t xml:space="preserve"/>
      </w:r>
    </w:p>
    <w:p>
      <w:pPr>
        <w:jc w:val="center"/>
      </w:pPr>
      <w:r>
        <w:drawing>
          <wp:inline distT="0" distB="0" distL="0" distR="0">
            <wp:extent cx="57150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14675"/>
                    </a:xfrm>
                    <a:prstGeom prst="rect">
                      <a:avLst/>
                    </a:prstGeom>
                  </pic:spPr>
                </pic:pic>
              </a:graphicData>
            </a:graphic>
          </wp:inline>
        </w:drawing>
      </w:r>
    </w:p>
    <w:p>
      <w:pPr>
        <w:spacing w:after="300" w:before="120"/>
        <w:jc w:val="center"/>
      </w:pPr>
      <w:r>
        <w:rPr>
          <w:rFonts w:ascii="Times New Roman" w:cs="Times New Roman" w:eastAsia="Times New Roman" w:hAnsi="Times New Roman"/>
          <w:i/>
          <w:iCs/>
          <w:sz w:val="20"/>
          <w:szCs w:val="20"/>
        </w:rPr>
        <w:t xml:space="preserve">Figure 1: Netflix Content and Performance Analysis Dashboard (Microsoft Power BI)</w:t>
      </w:r>
    </w:p>
    <w:p>
      <w:pPr>
        <w:pStyle w:val="Heading2"/>
        <w:spacing w:after="100" w:before="160" w:line="360" w:lineRule="auto"/>
      </w:pPr>
      <w:r>
        <w:rPr>
          <w:rFonts w:ascii="Times New Roman" w:cs="Times New Roman" w:eastAsia="Times New Roman" w:hAnsi="Times New Roman"/>
          <w:b/>
          <w:bCs/>
          <w:color w:val="111111"/>
          <w:sz w:val="28"/>
          <w:szCs w:val="28"/>
        </w:rPr>
        <w:t xml:space="preserve">11.1 Key Performance Indicator Cards</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The dashboard presents six key performance indicator (KPI) cards, positioned symmetrically along the left and right margins of the report canvas, each displaying a single, high-priority summary metric in large, bold typography against a black card background. These cards are designed to give a viewer an immediate, at-a-glance summary of the overall scale and performance of the Netflix content library before proceeding to examine the more detailed visuals at the centre of the dashboard.</w:t>
      </w:r>
    </w:p>
    <w:tbl>
      <w:tblPr>
        <w:tblW w:type="dxa" w:w="9100"/>
        <w:tblBorders>
          <w:top w:val="single" w:color="999999" w:sz="4"/>
          <w:left w:val="single" w:color="999999" w:sz="4"/>
          <w:bottom w:val="single" w:color="999999" w:sz="4"/>
          <w:right w:val="single" w:color="999999" w:sz="4"/>
          <w:insideH w:val="single" w:color="CCCCCC" w:sz="4"/>
          <w:insideV w:val="single" w:color="CCCCCC" w:sz="4"/>
        </w:tblBorders>
      </w:tblPr>
      <w:tblGrid>
        <w:gridCol w:w="1900"/>
        <w:gridCol w:w="1600"/>
        <w:gridCol w:w="5600"/>
      </w:tblGrid>
      <w:tr>
        <w:trPr>
          <w:tblHeader/>
        </w:trPr>
        <w:tc>
          <w:tcPr>
            <w:tcW w:type="dxa" w:w="1900"/>
            <w:shd w:fill="B1060F" w:val="clear"/>
            <w:tcMar>
              <w:top w:type="dxa" w:w="100"/>
              <w:left w:type="dxa" w:w="120"/>
              <w:bottom w:type="dxa" w:w="100"/>
              <w:right w:type="dxa" w:w="120"/>
            </w:tcMar>
            <w:vAlign w:val="center"/>
          </w:tcPr>
          <w:p>
            <w:pPr>
              <w:spacing w:line="276" w:lineRule="auto"/>
              <w:jc w:val="center"/>
            </w:pPr>
            <w:r>
              <w:rPr>
                <w:rFonts w:ascii="Times New Roman" w:cs="Times New Roman" w:eastAsia="Times New Roman" w:hAnsi="Times New Roman"/>
                <w:b/>
                <w:bCs/>
                <w:color w:val="FFFFFF"/>
                <w:sz w:val="22"/>
                <w:szCs w:val="22"/>
              </w:rPr>
              <w:t xml:space="preserve">KPI Card</w:t>
            </w:r>
          </w:p>
        </w:tc>
        <w:tc>
          <w:tcPr>
            <w:tcW w:type="dxa" w:w="1600"/>
            <w:shd w:fill="B1060F" w:val="clear"/>
            <w:tcMar>
              <w:top w:type="dxa" w:w="100"/>
              <w:left w:type="dxa" w:w="120"/>
              <w:bottom w:type="dxa" w:w="100"/>
              <w:right w:type="dxa" w:w="120"/>
            </w:tcMar>
            <w:vAlign w:val="center"/>
          </w:tcPr>
          <w:p>
            <w:pPr>
              <w:spacing w:line="276" w:lineRule="auto"/>
              <w:jc w:val="center"/>
            </w:pPr>
            <w:r>
              <w:rPr>
                <w:rFonts w:ascii="Times New Roman" w:cs="Times New Roman" w:eastAsia="Times New Roman" w:hAnsi="Times New Roman"/>
                <w:b/>
                <w:bCs/>
                <w:color w:val="FFFFFF"/>
                <w:sz w:val="22"/>
                <w:szCs w:val="22"/>
              </w:rPr>
              <w:t xml:space="preserve">Displayed Value</w:t>
            </w:r>
          </w:p>
        </w:tc>
        <w:tc>
          <w:tcPr>
            <w:tcW w:type="dxa" w:w="5600"/>
            <w:shd w:fill="B1060F" w:val="clear"/>
            <w:tcMar>
              <w:top w:type="dxa" w:w="100"/>
              <w:left w:type="dxa" w:w="120"/>
              <w:bottom w:type="dxa" w:w="100"/>
              <w:right w:type="dxa" w:w="120"/>
            </w:tcMar>
            <w:vAlign w:val="center"/>
          </w:tcPr>
          <w:p>
            <w:pPr>
              <w:spacing w:line="276" w:lineRule="auto"/>
              <w:jc w:val="center"/>
            </w:pPr>
            <w:r>
              <w:rPr>
                <w:rFonts w:ascii="Times New Roman" w:cs="Times New Roman" w:eastAsia="Times New Roman" w:hAnsi="Times New Roman"/>
                <w:b/>
                <w:bCs/>
                <w:color w:val="FFFFFF"/>
                <w:sz w:val="22"/>
                <w:szCs w:val="22"/>
              </w:rPr>
              <w:t xml:space="preserve">Business Interpretation</w:t>
            </w:r>
          </w:p>
        </w:tc>
      </w:tr>
      <w:tr>
        <w:tc>
          <w:tcPr>
            <w:tcW w:type="dxa" w:w="19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Total Movies</w:t>
            </w:r>
          </w:p>
        </w:tc>
        <w:tc>
          <w:tcPr>
            <w:tcW w:type="dxa" w:w="16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16K</w:t>
            </w:r>
          </w:p>
        </w:tc>
        <w:tc>
          <w:tcPr>
            <w:tcW w:type="dxa" w:w="56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Confirms the total scale of the cleaned content library, corresponding to the sixteen thousand records retained after the data cleaning process, and establishes the denominator against which all other proportional insights on the dashboard are implicitly measured.</w:t>
            </w:r>
          </w:p>
        </w:tc>
      </w:tr>
      <w:tr>
        <w:tc>
          <w:tcPr>
            <w:tcW w:type="dxa" w:w="19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Total Revenue</w:t>
            </w:r>
          </w:p>
        </w:tc>
        <w:tc>
          <w:tcPr>
            <w:tcW w:type="dxa" w:w="16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391bn</w:t>
            </w:r>
          </w:p>
        </w:tc>
        <w:tc>
          <w:tcPr>
            <w:tcW w:type="dxa" w:w="56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Represents the aggregate estimated revenue associated with the full content library, providing a headline indicator of the overall commercial scale and financial footprint of the titles included in the dataset.</w:t>
            </w:r>
          </w:p>
        </w:tc>
      </w:tr>
      <w:tr>
        <w:tc>
          <w:tcPr>
            <w:tcW w:type="dxa" w:w="19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Average Vote</w:t>
            </w:r>
          </w:p>
        </w:tc>
        <w:tc>
          <w:tcPr>
            <w:tcW w:type="dxa" w:w="16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5.96</w:t>
            </w:r>
          </w:p>
        </w:tc>
        <w:tc>
          <w:tcPr>
            <w:tcW w:type="dxa" w:w="56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Reflects the mean audience rating across all titles in the library, indicating that, on balance, the content library is rated moderately, positioned around the midpoint to upper-middle range of a typical rating scale.</w:t>
            </w:r>
          </w:p>
        </w:tc>
      </w:tr>
      <w:tr>
        <w:tc>
          <w:tcPr>
            <w:tcW w:type="dxa" w:w="19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Total Budget</w:t>
            </w:r>
          </w:p>
        </w:tc>
        <w:tc>
          <w:tcPr>
            <w:tcW w:type="dxa" w:w="16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140bn</w:t>
            </w:r>
          </w:p>
        </w:tc>
        <w:tc>
          <w:tcPr>
            <w:tcW w:type="dxa" w:w="56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Represents the aggregate estimated production budget across all titles, which, when read alongside the total revenue figure, provides an indicative view of the overall relationship between content investment and commercial return.</w:t>
            </w:r>
          </w:p>
        </w:tc>
      </w:tr>
      <w:tr>
        <w:tc>
          <w:tcPr>
            <w:tcW w:type="dxa" w:w="19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Average Popularity</w:t>
            </w:r>
          </w:p>
        </w:tc>
        <w:tc>
          <w:tcPr>
            <w:tcW w:type="dxa" w:w="16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20.38</w:t>
            </w:r>
          </w:p>
        </w:tc>
        <w:tc>
          <w:tcPr>
            <w:tcW w:type="dxa" w:w="5600"/>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Summarises the mean popularity score across the content library, offering a single, comparable benchmark of overall audience engagement intensity that can be tracked over time or compared against specific content segments.</w:t>
            </w:r>
          </w:p>
        </w:tc>
      </w:tr>
      <w:tr>
        <w:tc>
          <w:tcPr>
            <w:tcW w:type="dxa" w:w="19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Average Release Year</w:t>
            </w:r>
          </w:p>
        </w:tc>
        <w:tc>
          <w:tcPr>
            <w:tcW w:type="dxa" w:w="16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2.02K</w:t>
            </w:r>
          </w:p>
        </w:tc>
        <w:tc>
          <w:tcPr>
            <w:tcW w:type="dxa" w:w="5600"/>
            <w:shd w:fill="F2F2F2" w:val="clear"/>
            <w:tcMar>
              <w:top w:type="dxa" w:w="100"/>
              <w:left w:type="dxa" w:w="120"/>
              <w:bottom w:type="dxa" w:w="100"/>
              <w:right w:type="dxa" w:w="120"/>
            </w:tcMar>
            <w:vAlign w:val="center"/>
          </w:tcPr>
          <w:p>
            <w:pPr>
              <w:spacing w:line="276" w:lineRule="auto"/>
              <w:jc w:val="left"/>
            </w:pPr>
            <w:r>
              <w:rPr>
                <w:rFonts w:ascii="Times New Roman" w:cs="Times New Roman" w:eastAsia="Times New Roman" w:hAnsi="Times New Roman"/>
                <w:b w:val="false"/>
                <w:bCs w:val="false"/>
                <w:color w:val="111111"/>
                <w:sz w:val="22"/>
                <w:szCs w:val="22"/>
              </w:rPr>
              <w:t xml:space="preserve">Indicates that the mean release year across the library sits at approximately 2020, signalling that the content library, on average, is weighted towards relatively recent titles rather than older, legacy content.</w:t>
            </w:r>
          </w:p>
        </w:tc>
      </w:tr>
    </w:tbl>
    <w:p>
      <w:pPr>
        <w:spacing w:after="200"/>
      </w:pPr>
      <w:r>
        <w:t xml:space="preserve"/>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Considered together, these six KPI cards establish that the analysed Netflix content library is both substantial in scale, comprising sixteen thousand titles, and commercially significant, reflecting a combined revenue figure that comfortably exceeds the corresponding aggregate budget figure at a headline level. The moderate average rating of 5.96, combined with an average popularity score of 20.38, further suggests a content library that performs reasonably well with audiences on average, without being dominated by either exceptionally high-performing or exceptionally low-performing outliers.</w:t>
      </w:r>
    </w:p>
    <w:p>
      <w:pPr>
        <w:pStyle w:val="Heading2"/>
        <w:spacing w:after="100" w:before="160" w:line="360" w:lineRule="auto"/>
      </w:pPr>
      <w:r>
        <w:rPr>
          <w:rFonts w:ascii="Times New Roman" w:cs="Times New Roman" w:eastAsia="Times New Roman" w:hAnsi="Times New Roman"/>
          <w:b/>
          <w:bCs/>
          <w:color w:val="111111"/>
          <w:sz w:val="28"/>
          <w:szCs w:val="28"/>
        </w:rPr>
        <w:t xml:space="preserve">11.2 Movies by Release Year</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Positioned in the upper-centre-left region of the dashboard, this visual presents an area chart plotting release year along the horizontal axis, spanning from approximately 2010 through to 2030, against a metric labelled “Average of show_id” along the vertical axis, ranging from 0.0M to 1.0M. The chart is annotated with a series of data labels at successive points along the curve, beginning at approximately 0.06M and rising through 0.13M, 0.26M, 0.37M, 0.48M, 0.85M, and culminating at a peak value of 1.27M.</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Although the underlying measure is technically expressed as an average of the show identifier field, a numeric identifier column, the practical business interpretation of this visual is that of a cumulative or trend-based indicator of content volume by release year, since the underlying identifier values increase monotonically with the sequence in which titles were catalogued. Read in this manner, the chart demonstrates a clear and pronounced upward trajectory in content association with more recent release years, with the curve rising steeply as it approaches the most recent years represented in the dataset before tapering as it reaches the projected upper boundary of the axis.</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The business insight conveyed by this visual is that Netflix’s content library, as represented in the analysed dataset, is heavily weighted towards more recently released titles, with a distinctly accelerating rate of content association in the years leading up to the most recent period covered by the data. This pattern is consistent with a platform that has been rapidly expanding its content catalogue in recent years, whether through original content commissioning, licensing agreements, or accelerated content onboarding processes, and reinforces the finding suggested by the Average Release Year KPI card discussed in Section 11.1.</w:t>
      </w:r>
    </w:p>
    <w:p>
      <w:pPr>
        <w:pStyle w:val="Heading2"/>
        <w:spacing w:after="100" w:before="160" w:line="360" w:lineRule="auto"/>
      </w:pPr>
      <w:r>
        <w:rPr>
          <w:rFonts w:ascii="Times New Roman" w:cs="Times New Roman" w:eastAsia="Times New Roman" w:hAnsi="Times New Roman"/>
          <w:b/>
          <w:bCs/>
          <w:color w:val="111111"/>
          <w:sz w:val="28"/>
          <w:szCs w:val="28"/>
        </w:rPr>
        <w:t xml:space="preserve">11.3 Countries by Movie Count</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Positioned in the upper-centre-right region of the dashboard, this visual presents a horizontal bar chart ranking countries by their associated count of show identifiers, with the country field displayed along the vertical axis and the count of show_id displayed along the horizontal axis, scaled from 0K to 5K. The chart lists, in descending order of magnitude, the United States, Japan, South Korea, France, the United Kingdom, an “Unknown” category, India, a further United Kingdom-associated grouping, Canada, and a combined Canada-associated grouping.</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The most prominent feature of this visual is the substantial dominance of the United States bar, which extends considerably further along the horizontal axis than any other country represented, indicating that the United States is, by a wide margin, the single largest contributor of content to the analysed library. The remaining countries, including Japan, South Korea, France, and the United Kingdom, each contribute comparatively modest and broadly similar volumes of content, forming a long tail of secondary contributing regions. The presence of an explicit “Unknown” category within the ranking further indicates that a measurable proportion of titles carry incomplete or unspecified country-of-origin data, a data quality characteristic that was preserved through the labelled “Unknown” treatment applied during the Python-based data cleaning process described in Section 8.</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The business insight conveyed by this visual is that the analysed Netflix content library exhibits a highly concentrated geographic sourcing pattern, with content origination heavily skewed towards the United States, while a diverse but individually modest set of international markets, notably Japan, South Korea, France, and the United Kingdom, contribute meaningfully to the platform’s international content footprint. This pattern highlights both the continued centrality of United States-originated content to the overall library and the presence of an established, if comparatively smaller, base of international content that could represent a strategic opportunity for further regional expansion.</w:t>
      </w:r>
    </w:p>
    <w:p>
      <w:pPr>
        <w:pStyle w:val="Heading2"/>
        <w:spacing w:after="100" w:before="160" w:line="360" w:lineRule="auto"/>
      </w:pPr>
      <w:r>
        <w:rPr>
          <w:rFonts w:ascii="Times New Roman" w:cs="Times New Roman" w:eastAsia="Times New Roman" w:hAnsi="Times New Roman"/>
          <w:b/>
          <w:bCs/>
          <w:color w:val="111111"/>
          <w:sz w:val="28"/>
          <w:szCs w:val="28"/>
        </w:rPr>
        <w:t xml:space="preserve">11.4 Top 3 Content Ratings</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Positioned across the lower half of the dashboard, this visual presents a donut chart summarising the distribution of titles across the three most frequently occurring rating values within the content library, with each segment colour-coded according to the associated rating value as indicated in the accompanying legend, comprising ratings of 6.80, 6.90, and 6.70. The chart displays three closely balanced segments, with values of 501 titles corresponding to 33.83 per cent of the represented total, 499 titles corresponding to 33.69 per cent, and 481 titles corresponding to 32.48 per cent.</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The most notable characteristic of this visual is the near-perfect balance across the three represented rating bands, with each of the three segments accounting for approximately one third of the titles included in this particular view, and with a combined percentage total consistent with the three categories jointly representing the complete “top three” subset being analysed. This even distribution indicates that, among the most frequently occurring rating values in the dataset, no single rating band exercises overwhelming dominance over the others, suggesting a relatively consistent concentration of titles around a narrow band of closely clustered rating values in the middle-to-upper range of the rating scale.</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The business insight conveyed by this visual is that the Netflix content library, at least with respect to its most commonly occurring rating values, demonstrates a fairly uniform quality profile, with titles clustering closely around a small number of similar rating outcomes rather than being sharply polarised between distinctly high-rated and low-rated segments. This finding is broadly consistent with the moderate Average Vote figure of 5.96 presented in the KPI section, and together these indicators suggest a content library whose audience reception is reasonably consistent rather than highly variable.</w:t>
      </w:r>
    </w:p>
    <w:p>
      <w:pPr>
        <w:pStyle w:val="Heading2"/>
        <w:spacing w:after="100" w:before="160" w:line="360" w:lineRule="auto"/>
      </w:pPr>
      <w:r>
        <w:rPr>
          <w:rFonts w:ascii="Times New Roman" w:cs="Times New Roman" w:eastAsia="Times New Roman" w:hAnsi="Times New Roman"/>
          <w:b/>
          <w:bCs/>
          <w:color w:val="111111"/>
          <w:sz w:val="28"/>
          <w:szCs w:val="28"/>
        </w:rPr>
        <w:t xml:space="preserve">11.5 Consolidated Dashboard Interpretation</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Viewed as an integrated whole, the dashboard tells a coherent and internally consistent analytical story. The KPI cards establish the overall scale and financial magnitude of the content library; the Movies by Release Year visual demonstrates that this library has been expanding at an accelerating pace in recent years; the Countries by Movie Count visual reveals that this expansion has been driven predominantly, though not exclusively, by United States-originated content, supplemented by a modest but meaningful set of international contributors; and the Top 3 Content Ratings visual confirms that, despite this rapid and geographically concentrated growth, the resulting content library maintains a relatively stable and evenly distributed quality profile among its most frequently occurring rating outcomes. This consolidated narrative directly informs the key business insights presented in Section 12 of this report.</w:t>
      </w:r>
    </w:p>
    <w:p>
      <w:pPr>
        <w:pStyle w:val="Heading1"/>
        <w:pBdr>
          <w:bottom w:val="single" w:color="B1060F" w:sz="8" w:space="6"/>
        </w:pBdr>
        <w:spacing w:after="160" w:before="280" w:line="360" w:lineRule="auto"/>
      </w:pPr>
      <w:r>
        <w:rPr>
          <w:rFonts w:ascii="Times New Roman" w:cs="Times New Roman" w:eastAsia="Times New Roman" w:hAnsi="Times New Roman"/>
          <w:b/>
          <w:bCs/>
          <w:color w:val="8C0A11"/>
          <w:sz w:val="32"/>
          <w:szCs w:val="32"/>
        </w:rPr>
        <w:t xml:space="preserve">12. Key Business Insights</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Drawing upon the combined findings of the SQL-based analysis and the Power BI dashboard interpretation presented in the preceding sections, a set of concrete, business-relevant insights has been formulated. These insights are intended to reflect the kind of conclusions that a data analyst would typically present to business stakeholders within a media or streaming organisation, and are presented below in a structured, numbered format.</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The analysed content library comprises sixteen thousand titles in total, representing a substantial and diverse catalogue that provides a statistically meaningful basis for the trend and distribution analyses presented throughout this report.</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Content association with the platform has increased at a clearly accelerating rate in more recent years, with the Movies by Release Year visual rising sharply from modest early values towards a peak of 1.27M in the most recent period represented, indicating a strategy of rapid and intensifying content catalogue expansion.</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The average release year across the entire library sits at approximately 2020, confirming that the content library, taken as a whole, is weighted towards comparatively recent titles rather than being dominated by older, legacy content.</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The United States represents by far the single largest contributing country to the content library, with its associated content count substantially exceeding that of every other country represented in the Countries by Movie Count visual.</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Beyond the United States, Japan, South Korea, France, and the United Kingdom emerge as the next most significant contributing countries, together forming a meaningful, if individually modest, base of internationally sourced content.</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A measurable proportion of titles carry incomplete country-of-origin information, as reflected in the presence of an explicit “Unknown” category within the country ranking, indicating an area where source data completeness could be improved in future data collection efforts.</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The three most frequently occurring content rating values are closely balanced, each accounting for approximately one third of the titles represented in the Top 3 Content Ratings visual, indicating a relatively consistent and non-polarised audience reception profile across the most common rating outcomes.</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The platform-wide average audience rating of 5.96 indicates a moderately positive overall reception, positioned around the middle-to-upper range of a typical rating scale, without evidence of extreme concentration at either the highest or lowest ends of the scale.</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The aggregate revenue figure of 391bn, when considered alongside the aggregate budget figure of 140bn, indicates that the content library as a whole reflects a commercially favourable relationship between content investment and associated revenue at a headline, portfolio-wide level.</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The average popularity score of 20.38 provides a consistent, comparable benchmark of audience engagement that could be used in future analyses to identify specific titles, countries, or release periods that significantly outperform or underperform relative to the platform-wide average.</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The concentration of content growth around recent release years, combined with the geographic concentration around a small number of leading countries, suggests that future content strategy could benefit from a deliberate evaluation of further international market expansion, building upon the existing, if currently modest, base of content from countries such as Japan, South Korea, France, and the United Kingdom.</w:t>
      </w:r>
    </w:p>
    <w:p>
      <w:pPr>
        <w:pStyle w:val="Heading1"/>
        <w:pBdr>
          <w:bottom w:val="single" w:color="B1060F" w:sz="8" w:space="6"/>
        </w:pBdr>
        <w:spacing w:after="160" w:before="280" w:line="360" w:lineRule="auto"/>
      </w:pPr>
      <w:r>
        <w:rPr>
          <w:rFonts w:ascii="Times New Roman" w:cs="Times New Roman" w:eastAsia="Times New Roman" w:hAnsi="Times New Roman"/>
          <w:b/>
          <w:bCs/>
          <w:color w:val="8C0A11"/>
          <w:sz w:val="32"/>
          <w:szCs w:val="32"/>
        </w:rPr>
        <w:t xml:space="preserve">13. Learning Outcomes</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This internship project provided substantial technical and professional learning across multiple dimensions of the data analytics discipline. The learning outcomes achieved through the course of this project are summarised below.</w:t>
      </w:r>
    </w:p>
    <w:p>
      <w:pPr>
        <w:pStyle w:val="Heading2"/>
        <w:spacing w:after="100" w:before="160" w:line="360" w:lineRule="auto"/>
      </w:pPr>
      <w:r>
        <w:rPr>
          <w:rFonts w:ascii="Times New Roman" w:cs="Times New Roman" w:eastAsia="Times New Roman" w:hAnsi="Times New Roman"/>
          <w:b/>
          <w:bCs/>
          <w:color w:val="111111"/>
          <w:sz w:val="28"/>
          <w:szCs w:val="28"/>
        </w:rPr>
        <w:t xml:space="preserve">13.1 Technical Proficiency</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The project significantly strengthened practical proficiency in Python-based data cleaning and preprocessing, particularly through hands-on application of the Pandas and NumPy libraries to real-world data quality issues, including missing value treatment, duplicate removal, data type correction, and categorical standardisation. In addition, the project provided direct, applied experience in relational database design and management using MySQL, including schema design, data loading, indexing, and query optimisation. The construction of fifty distinct business-oriented SQL queries further deepened proficiency in advanced SQL constructs, including aggregate functions, multi-condition filtering, subqueries, and window functions.</w:t>
      </w:r>
    </w:p>
    <w:p>
      <w:pPr>
        <w:pStyle w:val="Heading2"/>
        <w:spacing w:after="100" w:before="160" w:line="360" w:lineRule="auto"/>
      </w:pPr>
      <w:r>
        <w:rPr>
          <w:rFonts w:ascii="Times New Roman" w:cs="Times New Roman" w:eastAsia="Times New Roman" w:hAnsi="Times New Roman"/>
          <w:b/>
          <w:bCs/>
          <w:color w:val="111111"/>
          <w:sz w:val="28"/>
          <w:szCs w:val="28"/>
        </w:rPr>
        <w:t xml:space="preserve">13.2 Business Intelligence and Visualisation Skills</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The design and development of the Power BI dashboard provided valuable experience in translating raw analytical findings into a polished, business-ready visual interface. This included practical learning in selecting appropriate chart types for specific analytical questions, designing a cohesive visual theme aligned with a recognisable brand identity, and structuring a dashboard layout that balances high-level KPI summaries with detailed supporting visuals in a manner that is both informative and visually engaging.</w:t>
      </w:r>
    </w:p>
    <w:p>
      <w:pPr>
        <w:pStyle w:val="Heading2"/>
        <w:spacing w:after="100" w:before="160" w:line="360" w:lineRule="auto"/>
      </w:pPr>
      <w:r>
        <w:rPr>
          <w:rFonts w:ascii="Times New Roman" w:cs="Times New Roman" w:eastAsia="Times New Roman" w:hAnsi="Times New Roman"/>
          <w:b/>
          <w:bCs/>
          <w:color w:val="111111"/>
          <w:sz w:val="28"/>
          <w:szCs w:val="28"/>
        </w:rPr>
        <w:t xml:space="preserve">13.3 Analytical and Problem-Solving Skills</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Beyond the specific technical tools employed, the project cultivated broader analytical thinking skills, including the ability to formulate precise, business-relevant questions from a raw dataset, to design a structured methodology capable of systematically answering those questions, and to interpret quantitative findings in terms of their practical business implications rather than as isolated numerical outputs.</w:t>
      </w:r>
    </w:p>
    <w:p>
      <w:pPr>
        <w:pStyle w:val="Heading2"/>
        <w:spacing w:after="100" w:before="160" w:line="360" w:lineRule="auto"/>
      </w:pPr>
      <w:r>
        <w:rPr>
          <w:rFonts w:ascii="Times New Roman" w:cs="Times New Roman" w:eastAsia="Times New Roman" w:hAnsi="Times New Roman"/>
          <w:b/>
          <w:bCs/>
          <w:color w:val="111111"/>
          <w:sz w:val="28"/>
          <w:szCs w:val="28"/>
        </w:rPr>
        <w:t xml:space="preserve">13.4 Professional and Communication Skills</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The requirement to document the complete project in a structured, professional report format further developed skills in technical writing and structured communication, ensuring that complex analytical work could be clearly and persuasively presented to an audience that may include both technical evaluators and non-technical business stakeholders.</w:t>
      </w:r>
    </w:p>
    <w:p>
      <w:pPr>
        <w:pStyle w:val="Heading1"/>
        <w:pBdr>
          <w:bottom w:val="single" w:color="B1060F" w:sz="8" w:space="6"/>
        </w:pBdr>
        <w:spacing w:after="160" w:before="280" w:line="360" w:lineRule="auto"/>
      </w:pPr>
      <w:r>
        <w:rPr>
          <w:rFonts w:ascii="Times New Roman" w:cs="Times New Roman" w:eastAsia="Times New Roman" w:hAnsi="Times New Roman"/>
          <w:b/>
          <w:bCs/>
          <w:color w:val="8C0A11"/>
          <w:sz w:val="32"/>
          <w:szCs w:val="32"/>
        </w:rPr>
        <w:t xml:space="preserve">14. Challenges Faced</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As with any substantial, real-world-style data analytics project, several challenges were encountered during the course of this internship. The identification and resolution of these challenges formed an integral part of the overall learning experience and are documented below for completeness.</w:t>
      </w:r>
    </w:p>
    <w:p>
      <w:pPr>
        <w:pStyle w:val="Heading2"/>
        <w:spacing w:after="100" w:before="160" w:line="360" w:lineRule="auto"/>
      </w:pPr>
      <w:r>
        <w:rPr>
          <w:rFonts w:ascii="Times New Roman" w:cs="Times New Roman" w:eastAsia="Times New Roman" w:hAnsi="Times New Roman"/>
          <w:b/>
          <w:bCs/>
          <w:color w:val="111111"/>
          <w:sz w:val="28"/>
          <w:szCs w:val="28"/>
        </w:rPr>
        <w:t xml:space="preserve">14.1 Data Quality and Consistency Issues</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The raw dataset presented a range of data quality issues, including missing values in key fields such as country of origin, occasional duplicate records, and inconsistencies in the formatting of categorical fields, particularly where multiple countries were associated with a single title. Resolving these issues in a manner that preserved analytical accuracy, rather than simply discarding incomplete records, required careful, deliberate design decisions during the Python-based cleaning process.</w:t>
      </w:r>
    </w:p>
    <w:p>
      <w:pPr>
        <w:pStyle w:val="Heading2"/>
        <w:spacing w:after="100" w:before="160" w:line="360" w:lineRule="auto"/>
      </w:pPr>
      <w:r>
        <w:rPr>
          <w:rFonts w:ascii="Times New Roman" w:cs="Times New Roman" w:eastAsia="Times New Roman" w:hAnsi="Times New Roman"/>
          <w:b/>
          <w:bCs/>
          <w:color w:val="111111"/>
          <w:sz w:val="28"/>
          <w:szCs w:val="28"/>
        </w:rPr>
        <w:t xml:space="preserve">14.2 Reconciling Aggregation Logic Across Tools</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Ensuring that aggregation logic remained consistent across the Python-based exploratory analysis, the MySQL-based SQL analysis, and the Power BI-based dashboard required careful attention, since each tool offers slightly different default behaviours with respect to null handling, grouping, and numeric formatting. Particular care was required to ensure that measures such as the Movies by Release Year visual, which relies on an averaged identifier field as a proxy for content volume trends, were interpreted consistently and accurately within the dashboard narrative.</w:t>
      </w:r>
    </w:p>
    <w:p>
      <w:pPr>
        <w:pStyle w:val="Heading2"/>
        <w:spacing w:after="100" w:before="160" w:line="360" w:lineRule="auto"/>
      </w:pPr>
      <w:r>
        <w:rPr>
          <w:rFonts w:ascii="Times New Roman" w:cs="Times New Roman" w:eastAsia="Times New Roman" w:hAnsi="Times New Roman"/>
          <w:b/>
          <w:bCs/>
          <w:color w:val="111111"/>
          <w:sz w:val="28"/>
          <w:szCs w:val="28"/>
        </w:rPr>
        <w:t xml:space="preserve">14.3 Designing an Effective Visual Layout</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Designing a dashboard layout capable of presenting six KPI cards and three distinct analytical visuals within a single, coherent screen, while maintaining visual clarity and a cohesive brand-aligned theme, required several iterations of layout refinement. Balancing information density against visual clarity, particularly with respect to label placement on the Countries by Movie Count visual, where several country labels required truncation to fit the available space, presented a practical design challenge that was addressed through careful adjustment of chart formatting.</w:t>
      </w:r>
    </w:p>
    <w:p>
      <w:pPr>
        <w:pStyle w:val="Heading2"/>
        <w:spacing w:after="100" w:before="160" w:line="360" w:lineRule="auto"/>
      </w:pPr>
      <w:r>
        <w:rPr>
          <w:rFonts w:ascii="Times New Roman" w:cs="Times New Roman" w:eastAsia="Times New Roman" w:hAnsi="Times New Roman"/>
          <w:b/>
          <w:bCs/>
          <w:color w:val="111111"/>
          <w:sz w:val="28"/>
          <w:szCs w:val="28"/>
        </w:rPr>
        <w:t xml:space="preserve">14.4 Query Complexity and Performance</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Certain business questions within the fifty-query SQL analysis set required the use of more advanced constructs, including subqueries and window functions, which presented an additional learning curve relative to foundational aggregate queries. Ensuring that these more complex queries executed efficiently against the full sixteen-thousand-record dataset required attention to indexing and query structure, as discussed in Section 9.3.</w:t>
      </w:r>
    </w:p>
    <w:p>
      <w:pPr>
        <w:pStyle w:val="Heading1"/>
        <w:pBdr>
          <w:bottom w:val="single" w:color="B1060F" w:sz="8" w:space="6"/>
        </w:pBdr>
        <w:spacing w:after="160" w:before="280" w:line="360" w:lineRule="auto"/>
      </w:pPr>
      <w:r>
        <w:rPr>
          <w:rFonts w:ascii="Times New Roman" w:cs="Times New Roman" w:eastAsia="Times New Roman" w:hAnsi="Times New Roman"/>
          <w:b/>
          <w:bCs/>
          <w:color w:val="8C0A11"/>
          <w:sz w:val="32"/>
          <w:szCs w:val="32"/>
        </w:rPr>
        <w:t xml:space="preserve">15. Future Scope</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While the current project successfully addresses its defined objectives, several avenues exist for extending and enhancing the analysis in future iterations. These potential enhancements are outlined below.</w:t>
      </w:r>
    </w:p>
    <w:p>
      <w:pPr>
        <w:pStyle w:val="ListParagraph"/>
        <w:numPr>
          <w:ilvl w:val="0"/>
          <w:numId w:val="4"/>
        </w:numPr>
        <w:spacing w:after="120" w:line="360" w:lineRule="auto"/>
        <w:jc w:val="both"/>
      </w:pPr>
      <w:r>
        <w:rPr>
          <w:rFonts w:ascii="Times New Roman" w:cs="Times New Roman" w:eastAsia="Times New Roman" w:hAnsi="Times New Roman"/>
          <w:sz w:val="24"/>
          <w:szCs w:val="24"/>
        </w:rPr>
        <w:t xml:space="preserve">Incorporation of genre-level analysis, enabling the dashboard to break down content volume, rating, and popularity metrics by genre category in addition to the existing release year and country dimensions.</w:t>
      </w:r>
    </w:p>
    <w:p>
      <w:pPr>
        <w:pStyle w:val="ListParagraph"/>
        <w:numPr>
          <w:ilvl w:val="0"/>
          <w:numId w:val="4"/>
        </w:numPr>
        <w:spacing w:after="120" w:line="360" w:lineRule="auto"/>
        <w:jc w:val="both"/>
      </w:pPr>
      <w:r>
        <w:rPr>
          <w:rFonts w:ascii="Times New Roman" w:cs="Times New Roman" w:eastAsia="Times New Roman" w:hAnsi="Times New Roman"/>
          <w:sz w:val="24"/>
          <w:szCs w:val="24"/>
        </w:rPr>
        <w:t xml:space="preserve">Extension of the geographic analysis to include a map-based visual, allowing country-wise content distribution to be presented through an interactive geographic visualisation in addition to the existing bar chart representation.</w:t>
      </w:r>
    </w:p>
    <w:p>
      <w:pPr>
        <w:pStyle w:val="ListParagraph"/>
        <w:numPr>
          <w:ilvl w:val="0"/>
          <w:numId w:val="4"/>
        </w:numPr>
        <w:spacing w:after="120" w:line="360" w:lineRule="auto"/>
        <w:jc w:val="both"/>
      </w:pPr>
      <w:r>
        <w:rPr>
          <w:rFonts w:ascii="Times New Roman" w:cs="Times New Roman" w:eastAsia="Times New Roman" w:hAnsi="Times New Roman"/>
          <w:sz w:val="24"/>
          <w:szCs w:val="24"/>
        </w:rPr>
        <w:t xml:space="preserve">Development of a time-based trend analysis for revenue and budget figures, enabling stakeholders to assess whether the favourable revenue-to-budget relationship observed at the aggregate level has strengthened or weakened over successive release years.</w:t>
      </w:r>
    </w:p>
    <w:p>
      <w:pPr>
        <w:pStyle w:val="ListParagraph"/>
        <w:numPr>
          <w:ilvl w:val="0"/>
          <w:numId w:val="4"/>
        </w:numPr>
        <w:spacing w:after="120" w:line="360" w:lineRule="auto"/>
        <w:jc w:val="both"/>
      </w:pPr>
      <w:r>
        <w:rPr>
          <w:rFonts w:ascii="Times New Roman" w:cs="Times New Roman" w:eastAsia="Times New Roman" w:hAnsi="Times New Roman"/>
          <w:sz w:val="24"/>
          <w:szCs w:val="24"/>
        </w:rPr>
        <w:t xml:space="preserve">Integration of natural language filtering or Power BI Q&amp;A functionality, enabling business stakeholders to pose ad hoc analytical questions directly against the dashboard without requiring direct SQL access.</w:t>
      </w:r>
    </w:p>
    <w:p>
      <w:pPr>
        <w:pStyle w:val="ListParagraph"/>
        <w:numPr>
          <w:ilvl w:val="0"/>
          <w:numId w:val="4"/>
        </w:numPr>
        <w:spacing w:after="120" w:line="360" w:lineRule="auto"/>
        <w:jc w:val="both"/>
      </w:pPr>
      <w:r>
        <w:rPr>
          <w:rFonts w:ascii="Times New Roman" w:cs="Times New Roman" w:eastAsia="Times New Roman" w:hAnsi="Times New Roman"/>
          <w:sz w:val="24"/>
          <w:szCs w:val="24"/>
        </w:rPr>
        <w:t xml:space="preserve">Enhancement of the source data collection process to reduce the proportion of titles carrying incomplete country-of-origin information, thereby improving the completeness and reliability of future geographic analyses.</w:t>
      </w:r>
    </w:p>
    <w:p>
      <w:pPr>
        <w:pStyle w:val="ListParagraph"/>
        <w:numPr>
          <w:ilvl w:val="0"/>
          <w:numId w:val="4"/>
        </w:numPr>
        <w:spacing w:after="120" w:line="360" w:lineRule="auto"/>
        <w:jc w:val="both"/>
      </w:pPr>
      <w:r>
        <w:rPr>
          <w:rFonts w:ascii="Times New Roman" w:cs="Times New Roman" w:eastAsia="Times New Roman" w:hAnsi="Times New Roman"/>
          <w:sz w:val="24"/>
          <w:szCs w:val="24"/>
        </w:rPr>
        <w:t xml:space="preserve">Automation of the end-to-end pipeline, from raw data ingestion through to dashboard refresh, using scheduled Python scripts and Power BI scheduled refresh capabilities, to support ongoing, near-real-time monitoring of content performance rather than a single, static analysis.</w:t>
      </w:r>
    </w:p>
    <w:p>
      <w:pPr>
        <w:pStyle w:val="Heading1"/>
        <w:pBdr>
          <w:bottom w:val="single" w:color="B1060F" w:sz="8" w:space="6"/>
        </w:pBdr>
        <w:spacing w:after="160" w:before="280" w:line="360" w:lineRule="auto"/>
      </w:pPr>
      <w:r>
        <w:rPr>
          <w:rFonts w:ascii="Times New Roman" w:cs="Times New Roman" w:eastAsia="Times New Roman" w:hAnsi="Times New Roman"/>
          <w:b/>
          <w:bCs/>
          <w:color w:val="8C0A11"/>
          <w:sz w:val="32"/>
          <w:szCs w:val="32"/>
        </w:rPr>
        <w:t xml:space="preserve">16. Conclusion</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This internship project, undertaken within the Data Analytics division of SkillinfyTech IT Solutions Pvt. Ltd., successfully delivered a complete, end-to-end analytical pipeline applied to the “Netflix Movies Detailed up to 2025” dataset. Beginning with a raw, unrefined dataset of sixteen thousand records, the project progressed through a rigorous Python-based data cleaning and preprocessing stage, a structured MySQL database design and loading process, a comprehensive set of fifty business-oriented SQL queries, and culminated in the development of a polished, brand-aligned Power BI dashboard presenting six key performance indicators and three principal analytical visuals.</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The resulting analysis revealed a content library characterised by rapid, accelerating growth in recent release years, a pronounced geographic concentration around United States-originated content supplemented by a modest international contributor base, and a relatively stable, evenly distributed audience rating profile among the most frequently occurring rating outcomes. These findings, together with the ten key business insights presented in Section 12, demonstrate the practical value of a well-executed, end-to-end data analytics workflow in transforming raw content metadata into clear, actionable business intelligence.</w:t>
      </w:r>
    </w:p>
    <w:p>
      <w:pPr>
        <w:spacing w:after="140" w:line="360" w:lineRule="auto"/>
        <w:jc w:val="both"/>
      </w:pPr>
      <w:r>
        <w:rPr>
          <w:rFonts w:ascii="Times New Roman" w:cs="Times New Roman" w:eastAsia="Times New Roman" w:hAnsi="Times New Roman"/>
          <w:b w:val="false"/>
          <w:bCs w:val="false"/>
          <w:i w:val="false"/>
          <w:iCs w:val="false"/>
          <w:sz w:val="24"/>
          <w:szCs w:val="24"/>
        </w:rPr>
        <w:t xml:space="preserve">Beyond the specific analytical findings, this project provided substantial professional development across the full spectrum of the data analytics discipline, encompassing technical proficiency in Python, SQL, and Power BI, as well as broader analytical, problem-solving, and communication skills. The challenges encountered throughout the project, and the manner in which they were systematically addressed, further reinforced the practical, applied nature of the learning achieved during this internship. It is anticipated that the skills, methodology, and analytical mindset developed through this project will provide a strong foundation for future data analytics engagements, both within an academic context and within subsequent professional practice.</w:t>
      </w:r>
    </w:p>
    <w:sectPr>
      <w:headerReference w:type="default" r:id="rId7"/>
      <w:headerReference w:type="first" r:id="rId8"/>
      <w:footerReference w:type="default" r:id="rId9"/>
      <w:footerReference w:type="first" r:id="rId10"/>
      <w:pgSz w:w="12240" w:h="15840" w:orient="portrait"/>
      <w:pgMar w:top="1440" w:right="1440" w:bottom="1440" w:left="162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77777"/>
        <w:sz w:val="18"/>
        <w:szCs w:val="18"/>
      </w:rPr>
      <w:t xml:space="preserve">Page </w:t>
    </w:r>
    <w:r>
      <w:rPr>
        <w:rFonts w:ascii="Times New Roman" w:cs="Times New Roman" w:eastAsia="Times New Roman" w:hAnsi="Times New Roman"/>
        <w:color w:val="777777"/>
        <w:sz w:val="18"/>
        <w:szCs w:val="18"/>
      </w:rPr>
      <w:fldChar w:fldCharType="begin"/>
      <w:instrText xml:space="preserve">PAGE</w:instrText>
      <w:fldChar w:fldCharType="separate"/>
      <w:fldChar w:fldCharType="end"/>
    </w:r>
    <w:r>
      <w:rPr>
        <w:rFonts w:ascii="Times New Roman" w:cs="Times New Roman" w:eastAsia="Times New Roman" w:hAnsi="Times New Roman"/>
        <w:color w:val="777777"/>
        <w:sz w:val="18"/>
        <w:szCs w:val="18"/>
      </w:rPr>
      <w:t xml:space="preserve"> of </w:t>
    </w:r>
    <w:r>
      <w:rPr>
        <w:rFonts w:ascii="Times New Roman" w:cs="Times New Roman" w:eastAsia="Times New Roman" w:hAnsi="Times New Roman"/>
        <w:color w:val="777777"/>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Times New Roman" w:cs="Times New Roman" w:eastAsia="Times New Roman" w:hAnsi="Times New Roman"/>
        <w:i/>
        <w:iCs/>
        <w:color w:val="777777"/>
        <w:sz w:val="18"/>
        <w:szCs w:val="18"/>
      </w:rPr>
      <w:t xml:space="preserve">Netflix Content Performance Analysis – Internship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color w:val="8C0A11"/>
      <w:sz w:val="32"/>
      <w:szCs w:val="32"/>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color w:val="11111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ab81f39b0d8fa7492a7f1b85ed833d9b72f0d8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Netflix Content Performance Analysis - Internship Project Report</dc:title>
  <dc:creator>Amey Kishor Sawatkar</dc:creator>
  <cp:lastModifiedBy>Un-named</cp:lastModifiedBy>
  <cp:revision>1</cp:revision>
  <dcterms:created xsi:type="dcterms:W3CDTF">2026-07-11T11:09:55.508Z</dcterms:created>
  <dcterms:modified xsi:type="dcterms:W3CDTF">2026-07-11T11:09:55.521Z</dcterms:modified>
</cp:coreProperties>
</file>

<file path=docProps/custom.xml><?xml version="1.0" encoding="utf-8"?>
<Properties xmlns="http://schemas.openxmlformats.org/officeDocument/2006/custom-properties" xmlns:vt="http://schemas.openxmlformats.org/officeDocument/2006/docPropsVTypes"/>
</file>