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S3 Table. READUS-PV Checklist</w:t>
      </w:r>
    </w:p>
    <w:p>
      <w:r>
        <w:t>REporting of A Disproportionality analysis in pharmacoVigilance — Standards</w:t>
      </w:r>
    </w:p>
    <w:p>
      <w:r>
        <w:t>Checklist completed against PONE_Condensed_V12 manuscript.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Section</w:t>
            </w:r>
          </w:p>
        </w:tc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Checklist Item</w:t>
            </w:r>
          </w:p>
        </w:tc>
        <w:tc>
          <w:tcPr>
            <w:tcW w:type="dxa" w:w="2160"/>
          </w:tcPr>
          <w:p>
            <w:r>
              <w:t>Location in V12</w:t>
            </w:r>
          </w:p>
        </w:tc>
      </w:tr>
      <w:tr>
        <w:tc>
          <w:tcPr>
            <w:tcW w:type="dxa" w:w="2160"/>
          </w:tcPr>
          <w:p>
            <w:r>
              <w:t>Title/Abstract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Identify the study as a disproportionality analysis</w:t>
            </w:r>
          </w:p>
        </w:tc>
        <w:tc>
          <w:tcPr>
            <w:tcW w:type="dxa" w:w="2160"/>
          </w:tcPr>
          <w:p>
            <w:r>
              <w:t>Title; Abstract: Methods subsection</w:t>
            </w:r>
          </w:p>
        </w:tc>
      </w:tr>
      <w:tr>
        <w:tc>
          <w:tcPr>
            <w:tcW w:type="dxa" w:w="2160"/>
          </w:tcPr>
          <w:p>
            <w:r>
              <w:t>Introduction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Explain the scientific background and rationale</w:t>
            </w:r>
          </w:p>
        </w:tc>
        <w:tc>
          <w:tcPr>
            <w:tcW w:type="dxa" w:w="2160"/>
          </w:tcPr>
          <w:p>
            <w:r>
              <w:t>Introduction, paragraphs 1-4</w:t>
            </w:r>
          </w:p>
        </w:tc>
      </w:tr>
      <w:tr>
        <w:tc>
          <w:tcPr>
            <w:tcW w:type="dxa" w:w="2160"/>
          </w:tcPr>
          <w:p>
            <w:r>
              <w:t>Introduction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State specific objectives and research question</w:t>
            </w:r>
          </w:p>
        </w:tc>
        <w:tc>
          <w:tcPr>
            <w:tcW w:type="dxa" w:w="2160"/>
          </w:tcPr>
          <w:p>
            <w:r>
              <w:t>Introduction, final paragraph</w:t>
            </w:r>
          </w:p>
        </w:tc>
      </w:tr>
      <w:tr>
        <w:tc>
          <w:tcPr>
            <w:tcW w:type="dxa" w:w="2160"/>
          </w:tcPr>
          <w:p>
            <w:r>
              <w:t>Database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Describe the pharmacovigilance database used</w:t>
            </w:r>
          </w:p>
        </w:tc>
        <w:tc>
          <w:tcPr>
            <w:tcW w:type="dxa" w:w="2160"/>
          </w:tcPr>
          <w:p>
            <w:r>
              <w:t>Materials and methods: Data source and preprocessing (FAERS 2021Q1-2025Q4)</w:t>
            </w:r>
          </w:p>
        </w:tc>
      </w:tr>
      <w:tr>
        <w:tc>
          <w:tcPr>
            <w:tcW w:type="dxa" w:w="2160"/>
          </w:tcPr>
          <w:p>
            <w:r>
              <w:t>Database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Specify the version/time period of data</w:t>
            </w:r>
          </w:p>
        </w:tc>
        <w:tc>
          <w:tcPr>
            <w:tcW w:type="dxa" w:w="2160"/>
          </w:tcPr>
          <w:p>
            <w:r>
              <w:t>Materials and methods: Data source and preprocessing (20 quarters)</w:t>
            </w:r>
          </w:p>
        </w:tc>
      </w:tr>
      <w:tr>
        <w:tc>
          <w:tcPr>
            <w:tcW w:type="dxa" w:w="2160"/>
          </w:tcPr>
          <w:p>
            <w:r>
              <w:t>Study drugs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Clearly identify the drugs under study</w:t>
            </w:r>
          </w:p>
        </w:tc>
        <w:tc>
          <w:tcPr>
            <w:tcW w:type="dxa" w:w="2160"/>
          </w:tcPr>
          <w:p>
            <w:r>
              <w:t>Materials and methods: Research subjects (14 obesity-related, 10 diabetes-related drugs listed)</w:t>
            </w:r>
          </w:p>
        </w:tc>
      </w:tr>
      <w:tr>
        <w:tc>
          <w:tcPr>
            <w:tcW w:type="dxa" w:w="2160"/>
          </w:tcPr>
          <w:p>
            <w:r>
              <w:t>Study events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Clearly identify the adverse events under study</w:t>
            </w:r>
          </w:p>
        </w:tc>
        <w:tc>
          <w:tcPr>
            <w:tcW w:type="dxa" w:w="2160"/>
          </w:tcPr>
          <w:p>
            <w:r>
              <w:t>Materials and methods: Data source and preprocessing (MedDRA v26.0, PT and SOC levels)</w:t>
            </w:r>
          </w:p>
        </w:tc>
      </w:tr>
      <w:tr>
        <w:tc>
          <w:tcPr>
            <w:tcW w:type="dxa" w:w="2160"/>
          </w:tcPr>
          <w:p>
            <w:r>
              <w:t>Coding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Report the medical terminology used</w:t>
            </w:r>
          </w:p>
        </w:tc>
        <w:tc>
          <w:tcPr>
            <w:tcW w:type="dxa" w:w="2160"/>
          </w:tcPr>
          <w:p>
            <w:r>
              <w:t>Materials and methods: Data source and preprocessing (MedDRA v26.0) [17]</w:t>
            </w:r>
          </w:p>
        </w:tc>
      </w:tr>
      <w:tr>
        <w:tc>
          <w:tcPr>
            <w:tcW w:type="dxa" w:w="2160"/>
          </w:tcPr>
          <w:p>
            <w:r>
              <w:t>Population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Define the study population</w:t>
            </w:r>
          </w:p>
        </w:tc>
        <w:tc>
          <w:tcPr>
            <w:tcW w:type="dxa" w:w="2160"/>
          </w:tcPr>
          <w:p>
            <w:r>
              <w:t>Materials and methods: Research subjects (adolescents 12-17 years)</w:t>
            </w:r>
          </w:p>
        </w:tc>
      </w:tr>
      <w:tr>
        <w:tc>
          <w:tcPr>
            <w:tcW w:type="dxa" w:w="2160"/>
          </w:tcPr>
          <w:p>
            <w:r>
              <w:t>Deduplication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Describe deduplication strategy</w:t>
            </w:r>
          </w:p>
        </w:tc>
        <w:tc>
          <w:tcPr>
            <w:tcW w:type="dxa" w:w="2160"/>
          </w:tcPr>
          <w:p>
            <w:r>
              <w:t>Materials and methods: Data source and preprocessing (most recent version by FDA_DT)</w:t>
            </w:r>
          </w:p>
        </w:tc>
      </w:tr>
      <w:tr>
        <w:tc>
          <w:tcPr>
            <w:tcW w:type="dxa" w:w="2160"/>
          </w:tcPr>
          <w:p>
            <w:r>
              <w:t>Disproportionality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Report the disproportionality measure(s) used</w:t>
            </w:r>
          </w:p>
        </w:tc>
        <w:tc>
          <w:tcPr>
            <w:tcW w:type="dxa" w:w="2160"/>
          </w:tcPr>
          <w:p>
            <w:r>
              <w:t>Materials and methods: Data analysis (ROR [18], PRR [19], IC [20], EBGM [21]); Table 2</w:t>
            </w:r>
          </w:p>
        </w:tc>
      </w:tr>
      <w:tr>
        <w:tc>
          <w:tcPr>
            <w:tcW w:type="dxa" w:w="2160"/>
          </w:tcPr>
          <w:p>
            <w:r>
              <w:t>Thresholds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Report signal detection thresholds</w:t>
            </w:r>
          </w:p>
        </w:tc>
        <w:tc>
          <w:tcPr>
            <w:tcW w:type="dxa" w:w="2160"/>
          </w:tcPr>
          <w:p>
            <w:r>
              <w:t>Materials and methods: Data analysis; Table 2 (four-metric criteria)</w:t>
            </w:r>
          </w:p>
        </w:tc>
      </w:tr>
      <w:tr>
        <w:tc>
          <w:tcPr>
            <w:tcW w:type="dxa" w:w="2160"/>
          </w:tcPr>
          <w:p>
            <w:r>
              <w:t>Interpretation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Acknowledge that disproportionality does not imply causation</w:t>
            </w:r>
          </w:p>
        </w:tc>
        <w:tc>
          <w:tcPr>
            <w:tcW w:type="dxa" w:w="2160"/>
          </w:tcPr>
          <w:p>
            <w:r>
              <w:t>Discussion: Strengths and limitations; Conclusion</w:t>
            </w:r>
          </w:p>
        </w:tc>
      </w:tr>
      <w:tr>
        <w:tc>
          <w:tcPr>
            <w:tcW w:type="dxa" w:w="2160"/>
          </w:tcPr>
          <w:p>
            <w:r>
              <w:t>Visualisation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Present results in appropriate visual format</w:t>
            </w:r>
          </w:p>
        </w:tc>
        <w:tc>
          <w:tcPr>
            <w:tcW w:type="dxa" w:w="2160"/>
          </w:tcPr>
          <w:p>
            <w:r>
              <w:t>Figures 1-4 (study design, SOC distribution, heatmap, drug-specific signals)</w:t>
            </w:r>
          </w:p>
        </w:tc>
      </w:tr>
      <w:tr>
        <w:tc>
          <w:tcPr>
            <w:tcW w:type="dxa" w:w="2160"/>
          </w:tcPr>
          <w:p>
            <w:r>
              <w:t>Sensitivity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Report any sensitivity analyses performed</w:t>
            </w:r>
          </w:p>
        </w:tc>
        <w:tc>
          <w:tcPr>
            <w:tcW w:type="dxa" w:w="2160"/>
          </w:tcPr>
          <w:p>
            <w:r>
              <w:t>Materials and methods: Research subjects (four pharmacotherapy panels as sensitivity analyses)</w:t>
            </w:r>
          </w:p>
        </w:tc>
      </w:tr>
      <w:tr>
        <w:tc>
          <w:tcPr>
            <w:tcW w:type="dxa" w:w="2160"/>
          </w:tcPr>
          <w:p>
            <w:r>
              <w:t>Results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Report main disproportionality results</w:t>
            </w:r>
          </w:p>
        </w:tc>
        <w:tc>
          <w:tcPr>
            <w:tcW w:type="dxa" w:w="2160"/>
          </w:tcPr>
          <w:p>
            <w:r>
              <w:t>Results: Signal distribution at SOC level; Signal distribution at PT level; Drug-specific adverse event profiles</w:t>
            </w:r>
          </w:p>
        </w:tc>
      </w:tr>
      <w:tr>
        <w:tc>
          <w:tcPr>
            <w:tcW w:type="dxa" w:w="2160"/>
          </w:tcPr>
          <w:p>
            <w:r>
              <w:t>Missing data</w:t>
            </w:r>
          </w:p>
        </w:tc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Report missing data rates and handling</w:t>
            </w:r>
          </w:p>
        </w:tc>
        <w:tc>
          <w:tcPr>
            <w:tcW w:type="dxa" w:w="2160"/>
          </w:tcPr>
          <w:p>
            <w:r>
              <w:t>Discussion: paragraphs on outcome missingness (~46-51%); Materials and methods: outcome-label clarification</w:t>
            </w:r>
          </w:p>
        </w:tc>
      </w:tr>
      <w:tr>
        <w:tc>
          <w:tcPr>
            <w:tcW w:type="dxa" w:w="2160"/>
          </w:tcPr>
          <w:p>
            <w:r>
              <w:t>Limitations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Discuss limitations of the analysis</w:t>
            </w:r>
          </w:p>
        </w:tc>
        <w:tc>
          <w:tcPr>
            <w:tcW w:type="dxa" w:w="2160"/>
          </w:tcPr>
          <w:p>
            <w:r>
              <w:t>Discussion: Strengths and limitations (spontaneous reporting, under-reporting, stimulated reporting, confounding)</w:t>
            </w:r>
          </w:p>
        </w:tc>
      </w:tr>
      <w:tr>
        <w:tc>
          <w:tcPr>
            <w:tcW w:type="dxa" w:w="2160"/>
          </w:tcPr>
          <w:p>
            <w:r>
              <w:t>Reporting bias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Discuss potential reporting biases</w:t>
            </w:r>
          </w:p>
        </w:tc>
        <w:tc>
          <w:tcPr>
            <w:tcW w:type="dxa" w:w="2160"/>
          </w:tcPr>
          <w:p>
            <w:r>
              <w:t>Discussion: Strengths and limitations (stimulated reporting, media attention to GLP-1 agonists)</w:t>
            </w:r>
          </w:p>
        </w:tc>
      </w:tr>
      <w:tr>
        <w:tc>
          <w:tcPr>
            <w:tcW w:type="dxa" w:w="2160"/>
          </w:tcPr>
          <w:p>
            <w:r>
              <w:t>Comparability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Discuss comparability with other studies</w:t>
            </w:r>
          </w:p>
        </w:tc>
        <w:tc>
          <w:tcPr>
            <w:tcW w:type="dxa" w:w="2160"/>
          </w:tcPr>
          <w:p>
            <w:r>
              <w:t>Discussion (metformin [29], statins [25], GLP-1 adolescent trial [27])</w:t>
            </w:r>
          </w:p>
        </w:tc>
      </w:tr>
      <w:tr>
        <w:tc>
          <w:tcPr>
            <w:tcW w:type="dxa" w:w="2160"/>
          </w:tcPr>
          <w:p>
            <w:r>
              <w:t>Clinical relevance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Discuss clinical implications</w:t>
            </w:r>
          </w:p>
        </w:tc>
        <w:tc>
          <w:tcPr>
            <w:tcW w:type="dxa" w:w="2160"/>
          </w:tcPr>
          <w:p>
            <w:r>
              <w:t>Discussion, paragraphs 1-4; Conclusion</w:t>
            </w:r>
          </w:p>
        </w:tc>
      </w:tr>
      <w:tr>
        <w:tc>
          <w:tcPr>
            <w:tcW w:type="dxa" w:w="2160"/>
          </w:tcPr>
          <w:p>
            <w:r>
              <w:t>Data access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State data availability</w:t>
            </w:r>
          </w:p>
        </w:tc>
        <w:tc>
          <w:tcPr>
            <w:tcW w:type="dxa" w:w="2160"/>
          </w:tcPr>
          <w:p>
            <w:r>
              <w:t>Data availability section (FAERS public, code on GitHub)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