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S7 Table. Temporal Dataset Shift Analysis</w:t>
      </w:r>
    </w:p>
    <w:p>
      <w:r>
        <w:t>Analysis of demographic, reporting, and model performance changes across the chronological data splits (training: 2021Q1-2023Q4, validation: 2024, test: 2025) for the broad obesity-related panel (N=11,701).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Training (2021Q1-2023Q4)</w:t>
            </w:r>
          </w:p>
        </w:tc>
        <w:tc>
          <w:tcPr>
            <w:tcW w:type="dxa" w:w="1728"/>
          </w:tcPr>
          <w:p>
            <w:r>
              <w:t>Validation (2024)</w:t>
            </w:r>
          </w:p>
        </w:tc>
        <w:tc>
          <w:tcPr>
            <w:tcW w:type="dxa" w:w="1728"/>
          </w:tcPr>
          <w:p>
            <w:r>
              <w:t>Test (2025)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N (reports)</w:t>
            </w:r>
          </w:p>
        </w:tc>
        <w:tc>
          <w:tcPr>
            <w:tcW w:type="dxa" w:w="1728"/>
          </w:tcPr>
          <w:p>
            <w:r>
              <w:t>6831</w:t>
            </w:r>
          </w:p>
        </w:tc>
        <w:tc>
          <w:tcPr>
            <w:tcW w:type="dxa" w:w="1728"/>
          </w:tcPr>
          <w:p>
            <w:r>
              <w:t>2058</w:t>
            </w:r>
          </w:p>
        </w:tc>
        <w:tc>
          <w:tcPr>
            <w:tcW w:type="dxa" w:w="1728"/>
          </w:tcPr>
          <w:p>
            <w:r>
              <w:t>2812</w:t>
            </w:r>
          </w:p>
        </w:tc>
        <w:tc>
          <w:tcPr>
            <w:tcW w:type="dxa" w:w="1728"/>
          </w:tcPr>
          <w:p>
            <w:r>
              <w:t>Broad obesity panel</w:t>
            </w:r>
          </w:p>
        </w:tc>
      </w:tr>
      <w:tr>
        <w:tc>
          <w:tcPr>
            <w:tcW w:type="dxa" w:w="1728"/>
          </w:tcPr>
          <w:p>
            <w:r>
              <w:t>Female %</w:t>
            </w:r>
          </w:p>
        </w:tc>
        <w:tc>
          <w:tcPr>
            <w:tcW w:type="dxa" w:w="1728"/>
          </w:tcPr>
          <w:p>
            <w:r>
              <w:t>53.4%</w:t>
            </w:r>
          </w:p>
        </w:tc>
        <w:tc>
          <w:tcPr>
            <w:tcW w:type="dxa" w:w="1728"/>
          </w:tcPr>
          <w:p>
            <w:r>
              <w:t>54.8%</w:t>
            </w:r>
          </w:p>
        </w:tc>
        <w:tc>
          <w:tcPr>
            <w:tcW w:type="dxa" w:w="1728"/>
          </w:tcPr>
          <w:p>
            <w:r>
              <w:t>55.2%</w:t>
            </w:r>
          </w:p>
        </w:tc>
        <w:tc>
          <w:tcPr>
            <w:tcW w:type="dxa" w:w="1728"/>
          </w:tcPr>
          <w:p>
            <w:r>
              <w:t>Stable</w:t>
            </w:r>
          </w:p>
        </w:tc>
      </w:tr>
      <w:tr>
        <w:tc>
          <w:tcPr>
            <w:tcW w:type="dxa" w:w="1728"/>
          </w:tcPr>
          <w:p>
            <w:r>
              <w:t>Mean age (years)</w:t>
            </w:r>
          </w:p>
        </w:tc>
        <w:tc>
          <w:tcPr>
            <w:tcW w:type="dxa" w:w="1728"/>
          </w:tcPr>
          <w:p>
            <w:r>
              <w:t>14.58</w:t>
            </w:r>
          </w:p>
        </w:tc>
        <w:tc>
          <w:tcPr>
            <w:tcW w:type="dxa" w:w="1728"/>
          </w:tcPr>
          <w:p>
            <w:r>
              <w:t>14.57</w:t>
            </w:r>
          </w:p>
        </w:tc>
        <w:tc>
          <w:tcPr>
            <w:tcW w:type="dxa" w:w="1728"/>
          </w:tcPr>
          <w:p>
            <w:r>
              <w:t>14.55</w:t>
            </w:r>
          </w:p>
        </w:tc>
        <w:tc>
          <w:tcPr>
            <w:tcW w:type="dxa" w:w="1728"/>
          </w:tcPr>
          <w:p>
            <w:r>
              <w:t>Stable</w:t>
            </w:r>
          </w:p>
        </w:tc>
      </w:tr>
      <w:tr>
        <w:tc>
          <w:tcPr>
            <w:tcW w:type="dxa" w:w="1728"/>
          </w:tcPr>
          <w:p>
            <w:r>
              <w:t>Death outcome %</w:t>
            </w:r>
          </w:p>
        </w:tc>
        <w:tc>
          <w:tcPr>
            <w:tcW w:type="dxa" w:w="1728"/>
          </w:tcPr>
          <w:p>
            <w:r>
              <w:t>4.7%</w:t>
            </w:r>
          </w:p>
        </w:tc>
        <w:tc>
          <w:tcPr>
            <w:tcW w:type="dxa" w:w="1728"/>
          </w:tcPr>
          <w:p>
            <w:r>
              <w:t>3.9%</w:t>
            </w:r>
          </w:p>
        </w:tc>
        <w:tc>
          <w:tcPr>
            <w:tcW w:type="dxa" w:w="1728"/>
          </w:tcPr>
          <w:p>
            <w:r>
              <w:t>4.5%</w:t>
            </w:r>
          </w:p>
        </w:tc>
        <w:tc>
          <w:tcPr>
            <w:tcW w:type="dxa" w:w="1728"/>
          </w:tcPr>
          <w:p>
            <w:r>
              <w:t>Declining</w:t>
            </w:r>
          </w:p>
        </w:tc>
      </w:tr>
      <w:tr>
        <w:tc>
          <w:tcPr>
            <w:tcW w:type="dxa" w:w="1728"/>
          </w:tcPr>
          <w:p>
            <w:r>
              <w:t>Top drug</w:t>
            </w:r>
          </w:p>
        </w:tc>
        <w:tc>
          <w:tcPr>
            <w:tcW w:type="dxa" w:w="1728"/>
          </w:tcPr>
          <w:p>
            <w:r>
              <w:t>metformin hydrochlor</w:t>
            </w:r>
          </w:p>
        </w:tc>
        <w:tc>
          <w:tcPr>
            <w:tcW w:type="dxa" w:w="1728"/>
          </w:tcPr>
          <w:p>
            <w:r>
              <w:t>metformin hydrochlor</w:t>
            </w:r>
          </w:p>
        </w:tc>
        <w:tc>
          <w:tcPr>
            <w:tcW w:type="dxa" w:w="1728"/>
          </w:tcPr>
          <w:p>
            <w:r>
              <w:t>metformin hydrochlor</w:t>
            </w:r>
          </w:p>
        </w:tc>
        <w:tc>
          <w:tcPr>
            <w:tcW w:type="dxa" w:w="1728"/>
          </w:tcPr>
          <w:p>
            <w:r>
              <w:t>Consistent</w:t>
            </w:r>
          </w:p>
        </w:tc>
      </w:tr>
      <w:tr>
        <w:tc>
          <w:tcPr>
            <w:tcW w:type="dxa" w:w="1728"/>
          </w:tcPr>
          <w:p>
            <w:r>
              <w:t>Top AE (PT)</w:t>
            </w:r>
          </w:p>
        </w:tc>
        <w:tc>
          <w:tcPr>
            <w:tcW w:type="dxa" w:w="1728"/>
          </w:tcPr>
          <w:p>
            <w:r>
              <w:t>Product dose omission iss</w:t>
            </w:r>
          </w:p>
        </w:tc>
        <w:tc>
          <w:tcPr>
            <w:tcW w:type="dxa" w:w="1728"/>
          </w:tcPr>
          <w:p>
            <w:r>
              <w:t>Drug ineffective</w:t>
            </w:r>
          </w:p>
        </w:tc>
        <w:tc>
          <w:tcPr>
            <w:tcW w:type="dxa" w:w="1728"/>
          </w:tcPr>
          <w:p>
            <w:r>
              <w:t>Drug ineffective</w:t>
            </w:r>
          </w:p>
        </w:tc>
        <w:tc>
          <w:tcPr>
            <w:tcW w:type="dxa" w:w="1728"/>
          </w:tcPr>
          <w:p>
            <w:r>
              <w:t>SHIFT</w:t>
            </w:r>
          </w:p>
        </w:tc>
      </w:tr>
      <w:tr>
        <w:tc>
          <w:tcPr>
            <w:tcW w:type="dxa" w:w="1728"/>
          </w:tcPr>
          <w:p>
            <w:r>
              <w:t>Unique drugs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Same panel</w:t>
            </w:r>
          </w:p>
        </w:tc>
      </w:tr>
      <w:tr>
        <w:tc>
          <w:tcPr>
            <w:tcW w:type="dxa" w:w="1728"/>
          </w:tcPr>
          <w:p>
            <w:r>
              <w:t>Unique PTs</w:t>
            </w:r>
          </w:p>
        </w:tc>
        <w:tc>
          <w:tcPr>
            <w:tcW w:type="dxa" w:w="1728"/>
          </w:tcPr>
          <w:p>
            <w:r>
              <w:t>1294</w:t>
            </w:r>
          </w:p>
        </w:tc>
        <w:tc>
          <w:tcPr>
            <w:tcW w:type="dxa" w:w="1728"/>
          </w:tcPr>
          <w:p>
            <w:r>
              <w:t>676</w:t>
            </w:r>
          </w:p>
        </w:tc>
        <w:tc>
          <w:tcPr>
            <w:tcW w:type="dxa" w:w="1728"/>
          </w:tcPr>
          <w:p>
            <w:r>
              <w:t>784</w:t>
            </w:r>
          </w:p>
        </w:tc>
        <w:tc>
          <w:tcPr>
            <w:tcW w:type="dxa" w:w="1728"/>
          </w:tcPr>
          <w:p>
            <w:r>
              <w:t>Decreasing</w:t>
            </w:r>
          </w:p>
        </w:tc>
      </w:tr>
      <w:tr>
        <w:tc>
          <w:tcPr>
            <w:tcW w:type="dxa" w:w="1728"/>
          </w:tcPr>
          <w:p>
            <w:r>
              <w:t>XGBoost Macro-F1</w:t>
            </w:r>
          </w:p>
        </w:tc>
        <w:tc>
          <w:tcPr>
            <w:tcW w:type="dxa" w:w="1728"/>
          </w:tcPr>
          <w:p>
            <w:r>
              <w:t>0.635 (random-split)</w:t>
            </w:r>
          </w:p>
        </w:tc>
        <w:tc>
          <w:tcPr>
            <w:tcW w:type="dxa" w:w="1728"/>
          </w:tcPr>
          <w:p>
            <w:r>
              <w:t>0.338</w:t>
            </w:r>
          </w:p>
        </w:tc>
        <w:tc>
          <w:tcPr>
            <w:tcW w:type="dxa" w:w="1728"/>
          </w:tcPr>
          <w:p>
            <w:r>
              <w:t>0.402</w:t>
            </w:r>
          </w:p>
        </w:tc>
        <w:tc>
          <w:tcPr>
            <w:tcW w:type="dxa" w:w="1728"/>
          </w:tcPr>
          <w:p>
            <w:r>
              <w:t>Temporal degradation from random-split</w:t>
            </w:r>
          </w:p>
        </w:tc>
      </w:tr>
      <w:tr>
        <w:tc>
          <w:tcPr>
            <w:tcW w:type="dxa" w:w="1728"/>
          </w:tcPr>
          <w:p>
            <w:r>
              <w:t>Death recall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0.40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LT recall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0.07</w:t>
            </w:r>
          </w:p>
        </w:tc>
        <w:tc>
          <w:tcPr>
            <w:tcW w:type="dxa" w:w="1728"/>
          </w:tcPr>
          <w:p>
            <w:r>
              <w:t>Poor rare-class detection</w:t>
            </w:r>
          </w:p>
        </w:tc>
      </w:tr>
      <w:tr>
        <w:tc>
          <w:tcPr>
            <w:tcW w:type="dxa" w:w="1728"/>
          </w:tcPr>
          <w:p>
            <w:r>
              <w:t>HO recall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DS recall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Poor rare-class detection</w:t>
            </w:r>
          </w:p>
        </w:tc>
      </w:tr>
      <w:tr>
        <w:tc>
          <w:tcPr>
            <w:tcW w:type="dxa" w:w="1728"/>
          </w:tcPr>
          <w:p>
            <w:r>
              <w:t>OT recall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Good majority-class detection</w:t>
            </w:r>
          </w:p>
        </w:tc>
      </w:tr>
    </w:tbl>
    <w:p/>
    <w:p>
      <w:r>
        <w:t>Note: The temporal evaluation demonstrates a meaningful but expected performance gap between random-split (Macro-F1 = 0.635) and chronological temporal (Macro-F1 = 0.402) evaluation, consistent with dataset shift in pharmacovigilance data. Class-specific recall for rare outcomes (Death 0.40, Life-Threatening 0.07, Disability 0.06) indicates that the model captures some rare-class signal but would miss clinically critical cases if used without human oversight. The validation set (2024) Macro-F1 of 0.338 reflects the intermediate temporal shift between training and test periods.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