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52"/>
          <w:szCs w:val="52"/>
        </w:rPr>
        <w:t xml:space="preserve">EdgeCAAI-Net</w:t>
      </w:r>
    </w:p>
    <w:p>
      <w:pPr>
        <w:spacing w:after="100"/>
        <w:jc w:val="center"/>
      </w:pPr>
      <w:r>
        <w:rPr>
          <w:rFonts w:ascii="Arial" w:cs="Arial" w:eastAsia="Arial" w:hAnsi="Arial"/>
          <w:color w:val="2E86C1"/>
          <w:sz w:val="28"/>
          <w:szCs w:val="28"/>
        </w:rPr>
        <w:t xml:space="preserve">Lightweight Compute-Adaptive, Artist-Invariant</w:t>
      </w:r>
    </w:p>
    <w:p>
      <w:pPr>
        <w:spacing w:after="400"/>
        <w:jc w:val="center"/>
      </w:pPr>
      <w:r>
        <w:rPr>
          <w:rFonts w:ascii="Arial" w:cs="Arial" w:eastAsia="Arial" w:hAnsi="Arial"/>
          <w:color w:val="2E86C1"/>
          <w:sz w:val="28"/>
          <w:szCs w:val="28"/>
        </w:rPr>
        <w:t xml:space="preserve">Music Genre Classification</w:t>
      </w:r>
    </w:p>
    <w:p>
      <w:pPr>
        <w:pBdr>
          <w:top w:val="single" w:color="2E86C1" w:sz="2" w:space="8"/>
          <w:bottom w:val="single" w:color="2E86C1" w:sz="2" w:space="8"/>
        </w:pBdr>
        <w:spacing w:before="200" w:after="200"/>
        <w:jc w:val="center"/>
      </w:pPr>
      <w:r>
        <w:rPr>
          <w:rFonts w:ascii="Arial" w:cs="Arial" w:eastAsia="Arial" w:hAnsi="Arial"/>
          <w:i/>
          <w:iCs/>
          <w:color w:val="555555"/>
          <w:sz w:val="24"/>
          <w:szCs w:val="24"/>
        </w:rPr>
        <w:t xml:space="preserve">Complete Project Documentation</w:t>
      </w:r>
    </w:p>
    <w:p>
      <w:pPr>
        <w:spacing w:after="600"/>
      </w:pPr>
    </w:p>
    <w:p>
      <w:pPr>
        <w:spacing w:after="80"/>
        <w:jc w:val="center"/>
      </w:pPr>
      <w:r>
        <w:rPr>
          <w:rFonts w:ascii="Arial" w:cs="Arial" w:eastAsia="Arial" w:hAnsi="Arial"/>
          <w:color w:val="777777"/>
          <w:sz w:val="22"/>
          <w:szCs w:val="22"/>
        </w:rPr>
        <w:t xml:space="preserve">A small audio model that avoids artist shortcuts, adapts compute at inference via early exits,</w:t>
      </w:r>
    </w:p>
    <w:p>
      <w:pPr>
        <w:spacing w:after="80"/>
        <w:jc w:val="center"/>
      </w:pPr>
      <w:r>
        <w:rPr>
          <w:rFonts w:ascii="Arial" w:cs="Arial" w:eastAsia="Arial" w:hAnsi="Arial"/>
          <w:color w:val="777777"/>
          <w:sz w:val="22"/>
          <w:szCs w:val="22"/>
        </w:rPr>
        <w:t xml:space="preserve">and keeps parameters and FLOPs low for edge deployment.</w:t>
      </w:r>
    </w:p>
    <w:p>
      <w:pPr>
        <w:spacing w:after="600"/>
      </w:pPr>
    </w:p>
    <w:p>
      <w:pPr>
        <w:jc w:val="center"/>
      </w:pPr>
      <w:r>
        <w:rPr>
          <w:rFonts w:ascii="Arial" w:cs="Arial" w:eastAsia="Arial" w:hAnsi="Arial"/>
          <w:color w:val="999999"/>
          <w:sz w:val="20"/>
          <w:szCs w:val="20"/>
        </w:rPr>
        <w:t xml:space="preserve">Domain: Music Information Retrieval (MIR)</w:t>
      </w:r>
    </w:p>
    <w:p>
      <w:r>
        <w:br w:type="page"/>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Research Problem and Motivation</w:t>
      </w:r>
    </w:p>
    <w:p>
      <w:pPr>
        <w:pStyle w:val="Heading2"/>
      </w:pPr>
      <w:r>
        <w:t xml:space="preserve">1.1 Domain</w:t>
      </w:r>
    </w:p>
    <w:p>
      <w:pPr>
        <w:spacing w:after="120"/>
      </w:pPr>
      <w:r>
        <w:rPr>
          <w:sz w:val="22"/>
          <w:szCs w:val="22"/>
        </w:rPr>
        <w:t xml:space="preserve">This project falls within Music Information Retrieval (MIR), specifically targeting Music Genre Classification (MGC) under real-world deployment constraints. The goal is to build a system that can classify music genres accurately while remaining lightweight enough to run on edge devices and CPUs.</w:t>
      </w:r>
    </w:p>
    <w:p>
      <w:pPr>
        <w:pStyle w:val="Heading2"/>
      </w:pPr>
      <w:r>
        <w:t xml:space="preserve">1.2 Problem Statement</w:t>
      </w:r>
    </w:p>
    <w:p>
      <w:pPr>
        <w:spacing w:after="120"/>
      </w:pPr>
      <w:r>
        <w:rPr>
          <w:sz w:val="22"/>
          <w:szCs w:val="22"/>
        </w:rPr>
        <w:t xml:space="preserve">Many reported genre classification accuracies in the literature are inflated due to several systemic evaluation flaws:</w:t>
      </w:r>
    </w:p>
    <w:p>
      <w:pPr>
        <w:pStyle w:val="ListParagraph"/>
        <w:numPr>
          <w:ilvl w:val="0"/>
          <w:numId w:val="2"/>
        </w:numPr>
        <w:spacing w:after="60"/>
      </w:pPr>
      <w:r>
        <w:rPr>
          <w:b/>
          <w:bCs/>
          <w:sz w:val="22"/>
          <w:szCs w:val="22"/>
        </w:rPr>
        <w:t xml:space="preserve">Track/Segment Leakage: </w:t>
      </w:r>
      <w:r>
        <w:rPr>
          <w:sz w:val="22"/>
          <w:szCs w:val="22"/>
        </w:rPr>
        <w:t xml:space="preserve">Segments from the same song appear in both training and test sets. The model memorizes recording-level characteristics rather than learning genre-discriminative features.</w:t>
      </w:r>
    </w:p>
    <w:p>
      <w:pPr>
        <w:pStyle w:val="ListParagraph"/>
        <w:numPr>
          <w:ilvl w:val="0"/>
          <w:numId w:val="2"/>
        </w:numPr>
        <w:spacing w:after="60"/>
      </w:pPr>
      <w:r>
        <w:rPr>
          <w:b/>
          <w:bCs/>
          <w:sz w:val="22"/>
          <w:szCs w:val="22"/>
        </w:rPr>
        <w:t xml:space="preserve">Artist Leakage: </w:t>
      </w:r>
      <w:r>
        <w:rPr>
          <w:sz w:val="22"/>
          <w:szCs w:val="22"/>
        </w:rPr>
        <w:t xml:space="preserve">When the same artist appears in both training and test sets, the model learns artist-specific production styles, vocal timbres, and recording characteristics as proxies for genre, rather than learning the actual musical properties that define genres.</w:t>
      </w:r>
    </w:p>
    <w:p>
      <w:pPr>
        <w:pStyle w:val="ListParagraph"/>
        <w:numPr>
          <w:ilvl w:val="0"/>
          <w:numId w:val="2"/>
        </w:numPr>
        <w:spacing w:after="60"/>
      </w:pPr>
      <w:r>
        <w:rPr>
          <w:b/>
          <w:bCs/>
          <w:sz w:val="22"/>
          <w:szCs w:val="22"/>
        </w:rPr>
        <w:t xml:space="preserve">Ignoring Compute Constraints: </w:t>
      </w:r>
      <w:r>
        <w:rPr>
          <w:sz w:val="22"/>
          <w:szCs w:val="22"/>
        </w:rPr>
        <w:t xml:space="preserve">Most approaches assume unlimited computational resources, making them impractical for real-world edge deployment on mobile devices, embedded systems, or CPU-only servers.</w:t>
      </w:r>
    </w:p>
    <w:p>
      <w:pPr>
        <w:pStyle w:val="Heading2"/>
      </w:pPr>
      <w:r>
        <w:t xml:space="preserve">1.3 Research Question</w:t>
      </w:r>
    </w:p>
    <w:p>
      <w:pPr>
        <w:spacing w:after="120"/>
      </w:pPr>
      <w:r>
        <w:rPr>
          <w:sz w:val="22"/>
          <w:szCs w:val="22"/>
        </w:rPr>
        <w:t xml:space="preserve">Can we build a lightweight genre classifier that is simultaneously compute-adaptive (using early exits for speed when confident and deeper processing when uncertain), artist-invariant (robust under artist-disjoint evaluation splits), and still competitive with other lightweight baselines in terms of classification accuracy?</w:t>
      </w:r>
    </w:p>
    <w:p>
      <w:pPr>
        <w:pStyle w:val="Heading2"/>
      </w:pPr>
      <w:r>
        <w:t xml:space="preserve">1.4 Core Contributions</w:t>
      </w:r>
    </w:p>
    <w:p>
      <w:pPr>
        <w:spacing w:after="120"/>
      </w:pPr>
      <w:r>
        <w:rPr>
          <w:sz w:val="22"/>
          <w:szCs w:val="22"/>
        </w:rPr>
        <w:t xml:space="preserve">The project makes the following specific contributions:</w:t>
      </w:r>
    </w:p>
    <w:p>
      <w:pPr>
        <w:pStyle w:val="ListParagraph"/>
        <w:numPr>
          <w:ilvl w:val="0"/>
          <w:numId w:val="3"/>
        </w:numPr>
        <w:spacing w:after="60"/>
      </w:pPr>
      <w:r>
        <w:rPr>
          <w:sz w:val="22"/>
          <w:szCs w:val="22"/>
        </w:rPr>
        <w:t xml:space="preserve">EdgeCAAI Protocol: A standardized evaluation protocol spanning track-disjoint, artist-disjoint, and optionally cross-dataset settings, providing a rigorous benchmark for future lightweight genre classifiers.</w:t>
      </w:r>
    </w:p>
    <w:p>
      <w:pPr>
        <w:pStyle w:val="ListParagraph"/>
        <w:numPr>
          <w:ilvl w:val="0"/>
          <w:numId w:val="3"/>
        </w:numPr>
        <w:spacing w:after="60"/>
      </w:pPr>
      <w:r>
        <w:rPr>
          <w:sz w:val="22"/>
          <w:szCs w:val="22"/>
        </w:rPr>
        <w:t xml:space="preserve">EdgeCAAI-Net Architecture: A small audio architecture with multi-exit inference and budget-aware training that enables dynamic compute allocation at inference time.</w:t>
      </w:r>
    </w:p>
    <w:p>
      <w:pPr>
        <w:pStyle w:val="ListParagraph"/>
        <w:numPr>
          <w:ilvl w:val="0"/>
          <w:numId w:val="3"/>
        </w:numPr>
        <w:spacing w:after="60"/>
      </w:pPr>
      <w:r>
        <w:rPr>
          <w:sz w:val="22"/>
          <w:szCs w:val="22"/>
        </w:rPr>
        <w:t xml:space="preserve">Artist-Invariance Training: Integration of lightweight gradient reversal or GroupDRO training that improves robustness to artist identity without requiring heavy backbone architectures.</w:t>
      </w:r>
    </w:p>
    <w:p>
      <w:pPr>
        <w:pStyle w:val="ListParagraph"/>
        <w:numPr>
          <w:ilvl w:val="0"/>
          <w:numId w:val="3"/>
        </w:numPr>
        <w:spacing w:after="60"/>
      </w:pPr>
      <w:r>
        <w:rPr>
          <w:sz w:val="22"/>
          <w:szCs w:val="22"/>
        </w:rPr>
        <w:t xml:space="preserve">Pareto Frontier Reporting: Systematic reporting of accuracy versus latency/FLOPs tradeoffs, providing the central result figure that demonstrates the practical value of the approach.</w:t>
      </w:r>
    </w:p>
    <w:p>
      <w:r>
        <w:br w:type="page"/>
      </w:r>
    </w:p>
    <w:p>
      <w:pPr>
        <w:pStyle w:val="Heading1"/>
      </w:pPr>
      <w:r>
        <w:t xml:space="preserve">2. Datasets</w:t>
      </w:r>
    </w:p>
    <w:p>
      <w:pPr>
        <w:pStyle w:val="Heading2"/>
      </w:pPr>
      <w:r>
        <w:t xml:space="preserve">2.1 Dataset Selection Rationale</w:t>
      </w:r>
    </w:p>
    <w:p>
      <w:pPr>
        <w:spacing w:after="120"/>
      </w:pPr>
      <w:r>
        <w:rPr>
          <w:sz w:val="22"/>
          <w:szCs w:val="22"/>
        </w:rPr>
        <w:t xml:space="preserve">The project requires at least two datasets (ideally three) to demonstrate generalization. The selected datasets must provide artist metadata for artist-disjoint evaluation and be of sufficient scale for meaningful training.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20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Dataset</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Role</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Key Properties</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Artist Metadata</w:t>
            </w:r>
          </w:p>
        </w:tc>
      </w:tr>
      <w:tr>
        <w:tc>
          <w:tcPr>
            <w:tcW w:type="dxa" w:w="2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FMA (Free Music Archive) — Small or Medium</w:t>
            </w:r>
          </w:p>
        </w:tc>
        <w:tc>
          <w:tcPr>
            <w:tcW w:type="dxa" w:w="20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Primary training and evaluation</w:t>
            </w:r>
          </w:p>
        </w:tc>
        <w:tc>
          <w:tcPr>
            <w:tcW w:type="dxa" w:w="31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Well-structured metadata, multiple genre taxonomies, widely used in MIR research</w:t>
            </w:r>
          </w:p>
        </w:tc>
        <w:tc>
          <w:tcPr>
            <w:tcW w:type="dxa" w:w="20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Yes — enables artist-disjoint evaluation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MTG-Jamendo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Secondary training and cross-validation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Large tag dataset; tags can be mapped into a genre subset or used for multi-label evaluation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Yes — artist/track info commonly available in metadata</w:t>
            </w:r>
          </w:p>
        </w:tc>
      </w:tr>
      <w:tr>
        <w:tc>
          <w:tcPr>
            <w:tcW w:type="dxa" w:w="2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GTZAN (optional)</w:t>
            </w:r>
          </w:p>
        </w:tc>
        <w:tc>
          <w:tcPr>
            <w:tcW w:type="dxa" w:w="20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Legacy benchmark comparison only</w:t>
            </w:r>
          </w:p>
        </w:tc>
        <w:tc>
          <w:tcPr>
            <w:tcW w:type="dxa" w:w="31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30-second clips, 10 genres, 100 clips each; known quality issues and disputed labels</w:t>
            </w:r>
          </w:p>
        </w:tc>
        <w:tc>
          <w:tcPr>
            <w:tcW w:type="dxa" w:w="20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Limited — use strict track-disjoint only</w:t>
            </w:r>
          </w:p>
        </w:tc>
      </w:tr>
    </w:tbl>
    <w:p>
      <w:pPr>
        <w:spacing w:after="80"/>
      </w:pPr>
    </w:p>
    <w:p>
      <w:pPr>
        <w:spacing w:after="120"/>
      </w:pPr>
      <w:r>
        <w:rPr>
          <w:sz w:val="22"/>
          <w:szCs w:val="22"/>
        </w:rPr>
        <w:t xml:space="preserve">FMA combined with Jamendo provides the necessary artist metadata and scale. GTZAN is included only for historical context and comparison with older literature; no novelty claims should rest on GTZAN results.</w:t>
      </w:r>
    </w:p>
    <w:p>
      <w:pPr>
        <w:pStyle w:val="Heading2"/>
      </w:pPr>
      <w:r>
        <w:t xml:space="preserve">2.2 Dataset Usage Notes</w:t>
      </w:r>
    </w:p>
    <w:p>
      <w:pPr>
        <w:pStyle w:val="ListParagraph"/>
        <w:numPr>
          <w:ilvl w:val="0"/>
          <w:numId w:val="2"/>
        </w:numPr>
        <w:spacing w:after="60"/>
      </w:pPr>
      <w:r>
        <w:rPr>
          <w:b/>
          <w:bCs/>
          <w:sz w:val="22"/>
          <w:szCs w:val="22"/>
        </w:rPr>
        <w:t xml:space="preserve">FMA: </w:t>
      </w:r>
      <w:r>
        <w:rPr>
          <w:sz w:val="22"/>
          <w:szCs w:val="22"/>
        </w:rPr>
        <w:t xml:space="preserve">Use the Small (8,000 tracks, 8 genres) or Medium (25,000 tracks, 16 genres) subset depending on available compute. The medium subset provides more robust training but requires proportionally more processing time.</w:t>
      </w:r>
    </w:p>
    <w:p>
      <w:pPr>
        <w:pStyle w:val="ListParagraph"/>
        <w:numPr>
          <w:ilvl w:val="0"/>
          <w:numId w:val="2"/>
        </w:numPr>
        <w:spacing w:after="60"/>
      </w:pPr>
      <w:r>
        <w:rPr>
          <w:b/>
          <w:bCs/>
          <w:sz w:val="22"/>
          <w:szCs w:val="22"/>
        </w:rPr>
        <w:t xml:space="preserve">MTG-Jamendo: </w:t>
      </w:r>
      <w:r>
        <w:rPr>
          <w:sz w:val="22"/>
          <w:szCs w:val="22"/>
        </w:rPr>
        <w:t xml:space="preserve">Select a genre-relevant subset of tags and map them to a consistent genre taxonomy. Document the exact mapping used for reproducibility. Consider using the mood/theme tags as additional metadata for analysis.</w:t>
      </w:r>
    </w:p>
    <w:p>
      <w:pPr>
        <w:pStyle w:val="ListParagraph"/>
        <w:numPr>
          <w:ilvl w:val="0"/>
          <w:numId w:val="2"/>
        </w:numPr>
        <w:spacing w:after="60"/>
      </w:pPr>
      <w:r>
        <w:rPr>
          <w:b/>
          <w:bCs/>
          <w:sz w:val="22"/>
          <w:szCs w:val="22"/>
        </w:rPr>
        <w:t xml:space="preserve">GTZAN: </w:t>
      </w:r>
      <w:r>
        <w:rPr>
          <w:sz w:val="22"/>
          <w:szCs w:val="22"/>
        </w:rPr>
        <w:t xml:space="preserve">If included, acknowledge known limitations (mislabeled tracks, potential duplicates). Use only for comparison tables; never as the sole evaluation benchmark.</w:t>
      </w:r>
    </w:p>
    <w:p>
      <w:r>
        <w:br w:type="page"/>
      </w:r>
    </w:p>
    <w:p>
      <w:pPr>
        <w:pStyle w:val="Heading1"/>
      </w:pPr>
      <w:r>
        <w:t xml:space="preserve">3. Data Pipeline and Preprocessing</w:t>
      </w:r>
    </w:p>
    <w:p>
      <w:pPr>
        <w:pStyle w:val="Heading2"/>
      </w:pPr>
      <w:r>
        <w:t xml:space="preserve">3.1 Audio Preprocessing</w:t>
      </w:r>
    </w:p>
    <w:p>
      <w:pPr>
        <w:spacing w:after="120"/>
      </w:pPr>
      <w:r>
        <w:rPr>
          <w:sz w:val="22"/>
          <w:szCs w:val="22"/>
        </w:rPr>
        <w:t xml:space="preserve">All audio files undergo the following standardized preprocessing pipeline before feature extraction: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Parameter</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Value</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Notes</w:t>
            </w:r>
          </w:p>
        </w:tc>
      </w:tr>
      <w:tr>
        <w:tc>
          <w:tcPr>
            <w:tcW w:type="dxa" w:w="20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Sample Rate</w:t>
            </w:r>
          </w:p>
        </w:tc>
        <w:tc>
          <w:tcPr>
            <w:tcW w:type="dxa" w:w="2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16,000 Hz or 22,050 Hz</w:t>
            </w:r>
          </w:p>
        </w:tc>
        <w:tc>
          <w:tcPr>
            <w:tcW w:type="dxa" w:w="4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Choose one and fix across all experiments. 16 kHz is more compute-friendly; 22.05 kHz preserves more high-frequency content.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Channels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Mono</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Convert all stereo files to mono by averaging channels.</w:t>
            </w:r>
          </w:p>
        </w:tc>
      </w:tr>
      <w:tr>
        <w:tc>
          <w:tcPr>
            <w:tcW w:type="dxa" w:w="20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Amplitude Normalization</w:t>
            </w:r>
          </w:p>
        </w:tc>
        <w:tc>
          <w:tcPr>
            <w:tcW w:type="dxa" w:w="2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Optional (peak normalization)</w:t>
            </w:r>
          </w:p>
        </w:tc>
        <w:tc>
          <w:tcPr>
            <w:tcW w:type="dxa" w:w="4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Normalize to a consistent peak amplitude if enabled. Document choice.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Segment Length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3.0 seconds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Fixed-length windows extracted from each track.</w:t>
            </w:r>
          </w:p>
        </w:tc>
      </w:tr>
      <w:tr>
        <w:tc>
          <w:tcPr>
            <w:tcW w:type="dxa" w:w="20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Segment Hop</w:t>
            </w:r>
          </w:p>
        </w:tc>
        <w:tc>
          <w:tcPr>
            <w:tcW w:type="dxa" w:w="2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1.5 seconds (50% overlap) or 3.0 seconds (no overlap)</w:t>
            </w:r>
          </w:p>
        </w:tc>
        <w:tc>
          <w:tcPr>
            <w:tcW w:type="dxa" w:w="4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Overlapping hops produce more training samples; non-overlapping reduces dataset size and avoids near-duplicate segments.</w:t>
            </w:r>
          </w:p>
        </w:tc>
      </w:tr>
    </w:tbl>
    <w:p>
      <w:pPr>
        <w:pStyle w:val="Heading2"/>
      </w:pPr>
      <w:r>
        <w:t xml:space="preserve">3.2 Feature Extraction</w:t>
      </w:r>
    </w:p>
    <w:p>
      <w:pPr>
        <w:spacing w:after="120"/>
      </w:pPr>
      <w:r>
        <w:rPr>
          <w:sz w:val="22"/>
          <w:szCs w:val="22"/>
        </w:rPr>
        <w:t xml:space="preserve">The primary input representation is the log-mel spectrogram, computed with the following parameters: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Parameter</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Value</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Notes</w:t>
            </w:r>
          </w:p>
        </w:tc>
      </w:tr>
      <w:tr>
        <w:tc>
          <w:tcPr>
            <w:tcW w:type="dxa" w:w="20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n_fft</w:t>
            </w:r>
          </w:p>
        </w:tc>
        <w:tc>
          <w:tcPr>
            <w:tcW w:type="dxa" w:w="3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1024 (at 22.05 kHz) or 512 (at 16 kHz)</w:t>
            </w:r>
          </w:p>
        </w:tc>
        <w:tc>
          <w:tcPr>
            <w:tcW w:type="dxa" w:w="41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FFT window size. Determines frequency resolution.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hop_length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320 (at 16 kHz) or 512 (at 22.05 kHz)</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Approximately 20 ms hop for temporal resolution.</w:t>
            </w:r>
          </w:p>
        </w:tc>
      </w:tr>
      <w:tr>
        <w:tc>
          <w:tcPr>
            <w:tcW w:type="dxa" w:w="20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n_mels</w:t>
            </w:r>
          </w:p>
        </w:tc>
        <w:tc>
          <w:tcPr>
            <w:tcW w:type="dxa" w:w="3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64 or 96</w:t>
            </w:r>
          </w:p>
        </w:tc>
        <w:tc>
          <w:tcPr>
            <w:tcW w:type="dxa" w:w="41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Keep small for lightweight processing. 64 is the default; 96 is an ablation option.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Log Compression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log(1 + 10 × mel)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Compresses dynamic range. The scaling factor of 10 is standard.</w:t>
            </w:r>
          </w:p>
        </w:tc>
      </w:tr>
    </w:tbl>
    <w:p>
      <w:pPr>
        <w:spacing w:after="80"/>
      </w:pPr>
    </w:p>
    <w:p>
      <w:pPr>
        <w:spacing w:after="120"/>
      </w:pPr>
      <w:r>
        <w:rPr>
          <w:sz w:val="22"/>
          <w:szCs w:val="22"/>
        </w:rPr>
        <w:t xml:space="preserve">All computed log-mel tensors should be cached to disk as preprocessed files to avoid recomputation during training. The recommended format is NumPy .npy files or PyTorch .pt tensors.</w:t>
      </w:r>
    </w:p>
    <w:p>
      <w:pPr>
        <w:pStyle w:val="Heading2"/>
      </w:pPr>
      <w:r>
        <w:t xml:space="preserve">3.3 Data Augmentations</w:t>
      </w:r>
    </w:p>
    <w:p>
      <w:pPr>
        <w:spacing w:after="120"/>
      </w:pPr>
      <w:r>
        <w:rPr>
          <w:sz w:val="22"/>
          <w:szCs w:val="22"/>
        </w:rPr>
        <w:t xml:space="preserve">The following augmentations are applied during training. All are CPU-friendly and do not require GPU acceleration:</w:t>
      </w:r>
    </w:p>
    <w:p>
      <w:pPr>
        <w:pStyle w:val="ListParagraph"/>
        <w:numPr>
          <w:ilvl w:val="0"/>
          <w:numId w:val="2"/>
        </w:numPr>
        <w:spacing w:after="60"/>
      </w:pPr>
      <w:r>
        <w:rPr>
          <w:b/>
          <w:bCs/>
          <w:sz w:val="22"/>
          <w:szCs w:val="22"/>
        </w:rPr>
        <w:t xml:space="preserve">SpecAugment: </w:t>
      </w:r>
      <w:r>
        <w:rPr>
          <w:sz w:val="22"/>
          <w:szCs w:val="22"/>
        </w:rPr>
        <w:t xml:space="preserve">Apply both time masking and frequency masking directly on the log-mel spectrogram. This is the most critical augmentation for spectrogram-based models, as it encourages the model to be robust to missing time and frequency information.</w:t>
      </w:r>
    </w:p>
    <w:p>
      <w:pPr>
        <w:pStyle w:val="ListParagraph"/>
        <w:numPr>
          <w:ilvl w:val="0"/>
          <w:numId w:val="2"/>
        </w:numPr>
        <w:spacing w:after="60"/>
      </w:pPr>
      <w:r>
        <w:rPr>
          <w:b/>
          <w:bCs/>
          <w:sz w:val="22"/>
          <w:szCs w:val="22"/>
        </w:rPr>
        <w:t xml:space="preserve">Random Gain: </w:t>
      </w:r>
      <w:r>
        <w:rPr>
          <w:sz w:val="22"/>
          <w:szCs w:val="22"/>
        </w:rPr>
        <w:t xml:space="preserve">Apply random amplitude scaling to simulate volume variations in real-world audio. Typical range is 0.8–1.2 multiplicative factor.</w:t>
      </w:r>
    </w:p>
    <w:p>
      <w:pPr>
        <w:pStyle w:val="ListParagraph"/>
        <w:numPr>
          <w:ilvl w:val="0"/>
          <w:numId w:val="2"/>
        </w:numPr>
        <w:spacing w:after="60"/>
      </w:pPr>
      <w:r>
        <w:rPr>
          <w:b/>
          <w:bCs/>
          <w:sz w:val="22"/>
          <w:szCs w:val="22"/>
        </w:rPr>
        <w:t xml:space="preserve">Time Shift: </w:t>
      </w:r>
      <w:r>
        <w:rPr>
          <w:sz w:val="22"/>
          <w:szCs w:val="22"/>
        </w:rPr>
        <w:t xml:space="preserve">Shift the audio waveform by a small random offset before spectrogram computation. Keep the shift small (under 500 ms) to avoid shifting content outside the window.</w:t>
      </w:r>
    </w:p>
    <w:p>
      <w:pPr>
        <w:pStyle w:val="ListParagraph"/>
        <w:numPr>
          <w:ilvl w:val="0"/>
          <w:numId w:val="2"/>
        </w:numPr>
        <w:spacing w:after="60"/>
      </w:pPr>
      <w:r>
        <w:rPr>
          <w:b/>
          <w:bCs/>
          <w:sz w:val="22"/>
          <w:szCs w:val="22"/>
        </w:rPr>
        <w:t xml:space="preserve">Mixup (Optional): </w:t>
      </w:r>
      <w:r>
        <w:rPr>
          <w:sz w:val="22"/>
          <w:szCs w:val="22"/>
        </w:rPr>
        <w:t xml:space="preserve">Linearly interpolate pairs of training examples and their labels. Use a Beta distribution with α = 0.2 to sample mixing coefficients. This helps generalization but increases effective training time.</w:t>
      </w:r>
    </w:p>
    <w:p>
      <w:pPr>
        <w:pStyle w:val="Heading2"/>
      </w:pPr>
      <w:r>
        <w:t xml:space="preserve">3.4 Leakage Prevention Rules</w:t>
      </w:r>
    </w:p>
    <w:p>
      <w:pPr>
        <w:spacing w:after="120"/>
      </w:pPr>
      <w:r>
        <w:rPr>
          <w:sz w:val="22"/>
          <w:szCs w:val="22"/>
        </w:rPr>
        <w:t xml:space="preserve">These rules are non-negotiable and must be enforced in all experimental configurations: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3"/>
              <w:left w:val="single" w:color="E74C3C" w:sz="3"/>
              <w:bottom w:val="single" w:color="E74C3C" w:sz="3"/>
              <w:right w:val="single" w:color="E74C3C" w:sz="3"/>
            </w:tcBorders>
            <w:shd w:fill="FDEDEC" w:val="clear"/>
            <w:tcMar>
              <w:top w:type="dxa" w:w="120"/>
              <w:left w:type="dxa" w:w="200"/>
              <w:bottom w:type="dxa" w:w="120"/>
              <w:right w:type="dxa" w:w="200"/>
            </w:tcMar>
          </w:tcPr>
          <w:p>
            <w:pPr>
              <w:spacing w:after="80"/>
            </w:pPr>
            <w:r>
              <w:rPr>
                <w:b/>
                <w:bCs/>
                <w:color w:val="C0392B"/>
                <w:sz w:val="22"/>
                <w:szCs w:val="22"/>
              </w:rPr>
              <w:t xml:space="preserve">CRITICAL: Leakage Prevention</w:t>
            </w:r>
          </w:p>
          <w:p>
            <w:pPr>
              <w:spacing w:after="60"/>
            </w:pPr>
            <w:r>
              <w:rPr>
                <w:b/>
                <w:bCs/>
                <w:sz w:val="21"/>
                <w:szCs w:val="21"/>
              </w:rPr>
              <w:t xml:space="preserve">Rule 1: </w:t>
            </w:r>
            <w:r>
              <w:rPr>
                <w:sz w:val="21"/>
                <w:szCs w:val="21"/>
              </w:rPr>
              <w:t xml:space="preserve">Never split by segments. Always split by track ID first, then generate segments from the assigned tracks. If a track is in the training set, all its segments belong to the training set.</w:t>
            </w:r>
          </w:p>
          <w:p>
            <w:pPr>
              <w:spacing w:after="60"/>
            </w:pPr>
            <w:r>
              <w:rPr>
                <w:b/>
                <w:bCs/>
                <w:sz w:val="21"/>
                <w:szCs w:val="21"/>
              </w:rPr>
              <w:t xml:space="preserve">Rule 2: </w:t>
            </w:r>
            <w:r>
              <w:rPr>
                <w:sz w:val="21"/>
                <w:szCs w:val="21"/>
              </w:rPr>
              <w:t xml:space="preserve">For artist-disjoint splits, no artist may appear in more than one split partition. All tracks by the same artist must be assigned to the same partition.</w:t>
            </w:r>
          </w:p>
          <w:p>
            <w:r>
              <w:rPr>
                <w:b/>
                <w:bCs/>
                <w:sz w:val="21"/>
                <w:szCs w:val="21"/>
              </w:rPr>
              <w:t xml:space="preserve">Rule 3: </w:t>
            </w:r>
            <w:r>
              <w:rPr>
                <w:sz w:val="21"/>
                <w:szCs w:val="21"/>
              </w:rPr>
              <w:t xml:space="preserve">Verify all splits with automated unit tests that check for overlap before any training begins.</w:t>
            </w:r>
          </w:p>
        </w:tc>
      </w:tr>
    </w:tbl>
    <w:p>
      <w:pPr>
        <w:pStyle w:val="Heading2"/>
      </w:pPr>
      <w:r>
        <w:t xml:space="preserve">3.5 Split File Deliverables</w:t>
      </w:r>
    </w:p>
    <w:p>
      <w:pPr>
        <w:spacing w:after="120"/>
      </w:pPr>
      <w:r>
        <w:rPr>
          <w:sz w:val="22"/>
          <w:szCs w:val="22"/>
        </w:rPr>
        <w:t xml:space="preserve">The splits/ directory must contain the following files, each in JSON format with track IDs, artist IDs, and genre labels:</w:t>
      </w:r>
    </w:p>
    <w:p>
      <w:pPr>
        <w:pStyle w:val="ListParagraph"/>
        <w:numPr>
          <w:ilvl w:val="0"/>
          <w:numId w:val="2"/>
        </w:numPr>
        <w:spacing w:after="60"/>
      </w:pPr>
      <w:r>
        <w:rPr>
          <w:sz w:val="22"/>
          <w:szCs w:val="22"/>
        </w:rPr>
        <w:t xml:space="preserve">track_disjoint_train.json, track_disjoint_val.json, track_disjoint_test.json</w:t>
      </w:r>
    </w:p>
    <w:p>
      <w:pPr>
        <w:pStyle w:val="ListParagraph"/>
        <w:numPr>
          <w:ilvl w:val="0"/>
          <w:numId w:val="2"/>
        </w:numPr>
        <w:spacing w:after="60"/>
      </w:pPr>
      <w:r>
        <w:rPr>
          <w:sz w:val="22"/>
          <w:szCs w:val="22"/>
        </w:rPr>
        <w:t xml:space="preserve">artist_disjoint_train.json, artist_disjoint_val.json, artist_disjoint_test.json</w:t>
      </w:r>
    </w:p>
    <w:p>
      <w:pPr>
        <w:spacing w:after="120"/>
      </w:pPr>
      <w:r>
        <w:rPr>
          <w:sz w:val="22"/>
          <w:szCs w:val="22"/>
        </w:rPr>
        <w:t xml:space="preserve">Each JSON file should follow a consistent schema containing: track ID, artist ID, genre label, file path, and split assignment.</w:t>
      </w:r>
    </w:p>
    <w:p>
      <w:r>
        <w:br w:type="page"/>
      </w:r>
    </w:p>
    <w:p>
      <w:pPr>
        <w:pStyle w:val="Heading1"/>
      </w:pPr>
      <w:r>
        <w:t xml:space="preserve">4. Model Architecture</w:t>
      </w:r>
    </w:p>
    <w:p>
      <w:pPr>
        <w:pStyle w:val="Heading2"/>
      </w:pPr>
      <w:r>
        <w:t xml:space="preserve">4.1 System Overview</w:t>
      </w:r>
    </w:p>
    <w:p>
      <w:pPr>
        <w:spacing w:after="120"/>
      </w:pPr>
      <w:r>
        <w:rPr>
          <w:sz w:val="22"/>
          <w:szCs w:val="22"/>
        </w:rPr>
        <w:t xml:space="preserve">EdgeCAAI-Net is a complete system composed of four integrated components: a tiny audio backbone, multi-exit classification heads, budget-aware training, and an artist-invariance module. The system is designed within strict parameter and compute constraints.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Constraint</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Target Range</w:t>
            </w:r>
          </w:p>
        </w:tc>
        <w:tc>
          <w:tcPr>
            <w:tcW w:type="dxa" w:w="4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Rationale</w:t>
            </w:r>
          </w:p>
        </w:tc>
      </w:tr>
      <w:tr>
        <w:tc>
          <w:tcPr>
            <w:tcW w:type="dxa" w:w="2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Model Parameters</w:t>
            </w:r>
          </w:p>
        </w:tc>
        <w:tc>
          <w:tcPr>
            <w:tcW w:type="dxa" w:w="24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0.5M – 3M</w:t>
            </w:r>
          </w:p>
        </w:tc>
        <w:tc>
          <w:tcPr>
            <w:tcW w:type="dxa" w:w="47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Must fit in memory on edge devices and mobile processors.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Compute Budget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CPU-inference feasible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Target latency under 100 ms per 3-second segment on a mid-range CPU.</w:t>
            </w:r>
          </w:p>
        </w:tc>
      </w:tr>
      <w:tr>
        <w:tc>
          <w:tcPr>
            <w:tcW w:type="dxa" w:w="2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Architecture</w:t>
            </w:r>
          </w:p>
        </w:tc>
        <w:tc>
          <w:tcPr>
            <w:tcW w:type="dxa" w:w="24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Must support early exit</w:t>
            </w:r>
          </w:p>
        </w:tc>
        <w:tc>
          <w:tcPr>
            <w:tcW w:type="dxa" w:w="47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Core to the compute-adaptive design; exits at intermediate depths.</w:t>
            </w:r>
          </w:p>
        </w:tc>
      </w:tr>
    </w:tbl>
    <w:p>
      <w:pPr>
        <w:pStyle w:val="Heading2"/>
      </w:pPr>
      <w:r>
        <w:t xml:space="preserve">4.2 Backbone: Tiny Conformer-Lite</w:t>
      </w:r>
    </w:p>
    <w:p>
      <w:pPr>
        <w:spacing w:after="120"/>
      </w:pPr>
      <w:r>
        <w:rPr>
          <w:sz w:val="22"/>
          <w:szCs w:val="22"/>
        </w:rPr>
        <w:t xml:space="preserve">The backbone processes log-mel spectrograms and produces feature representations at multiple depths. It is transformer-like but intentionally kept tiny.</w:t>
      </w:r>
    </w:p>
    <w:p>
      <w:pPr>
        <w:pStyle w:val="Heading3"/>
      </w:pPr>
      <w:r>
        <w:t xml:space="preserve">4.2.1 Input</w:t>
      </w:r>
    </w:p>
    <w:p>
      <w:pPr>
        <w:spacing w:after="120"/>
      </w:pPr>
      <w:r>
        <w:rPr>
          <w:sz w:val="22"/>
          <w:szCs w:val="22"/>
        </w:rPr>
        <w:t xml:space="preserve">The input is a log-mel spectrogram X with shape (T × F), where T is the number of time frames and F is the number of mel bins (64 or 96).</w:t>
      </w:r>
    </w:p>
    <w:p>
      <w:pPr>
        <w:pStyle w:val="Heading3"/>
      </w:pPr>
      <w:r>
        <w:t xml:space="preserve">4.2.2 Stem</w:t>
      </w:r>
    </w:p>
    <w:p>
      <w:pPr>
        <w:spacing w:after="120"/>
      </w:pPr>
      <w:r>
        <w:rPr>
          <w:sz w:val="22"/>
          <w:szCs w:val="22"/>
        </w:rPr>
        <w:t xml:space="preserve">The stem is a very cheap initial layer that projects the raw spectrogram into the model’s feature dimension:</w:t>
      </w:r>
    </w:p>
    <w:p>
      <w:pPr>
        <w:pStyle w:val="ListParagraph"/>
        <w:numPr>
          <w:ilvl w:val="0"/>
          <w:numId w:val="2"/>
        </w:numPr>
        <w:spacing w:after="60"/>
      </w:pPr>
      <w:r>
        <w:rPr>
          <w:sz w:val="22"/>
          <w:szCs w:val="22"/>
        </w:rPr>
        <w:t xml:space="preserve">2D depthwise-separable convolution applied to the spectrogram</w:t>
      </w:r>
    </w:p>
    <w:p>
      <w:pPr>
        <w:pStyle w:val="ListParagraph"/>
        <w:numPr>
          <w:ilvl w:val="0"/>
          <w:numId w:val="2"/>
        </w:numPr>
        <w:spacing w:after="60"/>
      </w:pPr>
      <w:r>
        <w:rPr>
          <w:sz w:val="22"/>
          <w:szCs w:val="22"/>
        </w:rPr>
        <w:t xml:space="preserve">Output channels: 64</w:t>
      </w:r>
    </w:p>
    <w:p>
      <w:pPr>
        <w:pStyle w:val="ListParagraph"/>
        <w:numPr>
          <w:ilvl w:val="0"/>
          <w:numId w:val="2"/>
        </w:numPr>
        <w:spacing w:after="60"/>
      </w:pPr>
      <w:r>
        <w:rPr>
          <w:sz w:val="22"/>
          <w:szCs w:val="22"/>
        </w:rPr>
        <w:t xml:space="preserve">Optional light downsampling along the time axis to reduce sequence length</w:t>
      </w:r>
    </w:p>
    <w:p>
      <w:pPr>
        <w:spacing w:after="120"/>
      </w:pPr>
      <w:r>
        <w:rPr>
          <w:sz w:val="22"/>
          <w:szCs w:val="22"/>
        </w:rPr>
        <w:t xml:space="preserve">The depthwise-separable design keeps the stem parameter count minimal while still learning useful low-level spectral features.</w:t>
      </w:r>
    </w:p>
    <w:p>
      <w:pPr>
        <w:pStyle w:val="Heading3"/>
      </w:pPr>
      <w:r>
        <w:t xml:space="preserve">4.2.3 Core Blocks</w:t>
      </w:r>
    </w:p>
    <w:p>
      <w:pPr>
        <w:spacing w:after="120"/>
      </w:pPr>
      <w:r>
        <w:rPr>
          <w:sz w:val="22"/>
          <w:szCs w:val="22"/>
        </w:rPr>
        <w:t xml:space="preserve">The backbone contains 6 core blocks in total. Each block has the following structure:</w:t>
      </w:r>
    </w:p>
    <w:p>
      <w:pPr>
        <w:pStyle w:val="ListParagraph"/>
        <w:numPr>
          <w:ilvl w:val="0"/>
          <w:numId w:val="3"/>
        </w:numPr>
        <w:spacing w:after="60"/>
      </w:pPr>
      <w:r>
        <w:rPr>
          <w:sz w:val="22"/>
          <w:szCs w:val="22"/>
        </w:rPr>
        <w:t xml:space="preserve">Depthwise Temporal Convolution: kernel size 9–15. Captures local temporal patterns with minimal parameters by operating independently per channel.</w:t>
      </w:r>
    </w:p>
    <w:p>
      <w:pPr>
        <w:pStyle w:val="ListParagraph"/>
        <w:numPr>
          <w:ilvl w:val="0"/>
          <w:numId w:val="3"/>
        </w:numPr>
        <w:spacing w:after="60"/>
      </w:pPr>
      <w:r>
        <w:rPr>
          <w:sz w:val="22"/>
          <w:szCs w:val="22"/>
        </w:rPr>
        <w:t xml:space="preserve">Lightweight Attention: Choose one of the following options:</w:t>
      </w:r>
    </w:p>
    <w:p>
      <w:pPr>
        <w:pStyle w:val="ListParagraph"/>
        <w:numPr>
          <w:ilvl w:val="1"/>
          <w:numId w:val="2"/>
        </w:numPr>
        <w:spacing w:after="40"/>
      </w:pPr>
      <w:r>
        <w:rPr>
          <w:sz w:val="21"/>
          <w:szCs w:val="21"/>
        </w:rPr>
        <w:t xml:space="preserve">Option A (Simple): Standard multi-head self-attention with d_model = 128, heads = 4. Straightforward to implement and debug.</w:t>
      </w:r>
    </w:p>
    <w:p>
      <w:pPr>
        <w:pStyle w:val="ListParagraph"/>
        <w:numPr>
          <w:ilvl w:val="1"/>
          <w:numId w:val="2"/>
        </w:numPr>
        <w:spacing w:after="40"/>
      </w:pPr>
      <w:r>
        <w:rPr>
          <w:sz w:val="21"/>
          <w:szCs w:val="21"/>
        </w:rPr>
        <w:t xml:space="preserve">Option B (Efficient): Linear attention or Performer-style attention for O(n) complexity. Recommended only if sequence lengths are long enough to make quadratic attention a bottleneck.</w:t>
      </w:r>
    </w:p>
    <w:p>
      <w:pPr>
        <w:pStyle w:val="ListParagraph"/>
        <w:numPr>
          <w:ilvl w:val="0"/>
          <w:numId w:val="3"/>
        </w:numPr>
        <w:spacing w:after="60"/>
      </w:pPr>
      <w:r>
        <w:rPr>
          <w:sz w:val="22"/>
          <w:szCs w:val="22"/>
        </w:rPr>
        <w:t xml:space="preserve">Feed-Forward Network (FFN): Hidden dimension of 256 with GELU activation. Processes each position independently after attention.</w:t>
      </w:r>
    </w:p>
    <w:p>
      <w:pPr>
        <w:pStyle w:val="ListParagraph"/>
        <w:numPr>
          <w:ilvl w:val="0"/>
          <w:numId w:val="3"/>
        </w:numPr>
        <w:spacing w:after="60"/>
      </w:pPr>
      <w:r>
        <w:rPr>
          <w:sz w:val="22"/>
          <w:szCs w:val="22"/>
        </w:rPr>
        <w:t xml:space="preserve">Residual Connection + LayerNorm: Applied around each sub-component for stable training.</w:t>
      </w:r>
    </w:p>
    <w:p>
      <w:pPr>
        <w:pStyle w:val="Heading3"/>
      </w:pPr>
      <w:r>
        <w:t xml:space="preserve">4.2.4 Pooling</w:t>
      </w:r>
    </w:p>
    <w:p>
      <w:pPr>
        <w:spacing w:after="120"/>
      </w:pPr>
      <w:r>
        <w:rPr>
          <w:sz w:val="22"/>
          <w:szCs w:val="22"/>
        </w:rPr>
        <w:t xml:space="preserve">After the final block, a pooling layer aggregates the temporal sequence into a fixed-length embedding:</w:t>
      </w:r>
    </w:p>
    <w:p>
      <w:pPr>
        <w:pStyle w:val="ListParagraph"/>
        <w:numPr>
          <w:ilvl w:val="0"/>
          <w:numId w:val="2"/>
        </w:numPr>
        <w:spacing w:after="60"/>
      </w:pPr>
      <w:r>
        <w:rPr>
          <w:b/>
          <w:bCs/>
          <w:sz w:val="22"/>
          <w:szCs w:val="22"/>
        </w:rPr>
        <w:t xml:space="preserve">Primary Option — Attentive Statistics Pooling: </w:t>
      </w:r>
      <w:r>
        <w:rPr>
          <w:sz w:val="22"/>
          <w:szCs w:val="22"/>
        </w:rPr>
        <w:t xml:space="preserve">Computes both mean and standard deviation of the sequence, weighted by learned attention scores. This captures both the average content and the variability of the audio segment.</w:t>
      </w:r>
    </w:p>
    <w:p>
      <w:pPr>
        <w:pStyle w:val="ListParagraph"/>
        <w:numPr>
          <w:ilvl w:val="0"/>
          <w:numId w:val="2"/>
        </w:numPr>
        <w:spacing w:after="60"/>
      </w:pPr>
      <w:r>
        <w:rPr>
          <w:b/>
          <w:bCs/>
          <w:sz w:val="22"/>
          <w:szCs w:val="22"/>
        </w:rPr>
        <w:t xml:space="preserve">Fallback Option — Simple Attention Pooling: </w:t>
      </w:r>
      <w:r>
        <w:rPr>
          <w:sz w:val="22"/>
          <w:szCs w:val="22"/>
        </w:rPr>
        <w:t xml:space="preserve">A single learned attention vector computes a weighted average over the sequence. Simpler but loses the variance information.</w:t>
      </w:r>
    </w:p>
    <w:p>
      <w:pPr>
        <w:pStyle w:val="Heading3"/>
      </w:pPr>
      <w:r>
        <w:t xml:space="preserve">4.2.5 Classifier Head</w:t>
      </w:r>
    </w:p>
    <w:p>
      <w:pPr>
        <w:spacing w:after="120"/>
      </w:pPr>
      <w:r>
        <w:rPr>
          <w:sz w:val="22"/>
          <w:szCs w:val="22"/>
        </w:rPr>
        <w:t xml:space="preserve">The final classifier is a compact MLP: 128-dimensional hidden layer followed by projection to num_genres output logits. Dropout is applied before the hidden layer.</w:t>
      </w:r>
    </w:p>
    <w:p>
      <w:pPr>
        <w:pStyle w:val="Heading2"/>
      </w:pPr>
      <w:r>
        <w:t xml:space="preserve">4.3 Compute-Adaptive Early Exits</w:t>
      </w:r>
    </w:p>
    <w:p>
      <w:pPr>
        <w:spacing w:after="120"/>
      </w:pPr>
      <w:r>
        <w:rPr>
          <w:sz w:val="22"/>
          <w:szCs w:val="22"/>
        </w:rPr>
        <w:t xml:space="preserve">This is the core compute-adaptation mechanism. Early exit heads are attached at intermediate depths to allow the model to stop processing when it is sufficiently confident, reducing average latency.</w:t>
      </w:r>
    </w:p>
    <w:p>
      <w:pPr>
        <w:pStyle w:val="Heading3"/>
      </w:pPr>
      <w:r>
        <w:t xml:space="preserve">4.3.1 Exit Placement</w:t>
      </w:r>
    </w:p>
    <w:p>
      <w:pPr>
        <w:spacing w:after="120"/>
      </w:pPr>
      <w:r>
        <w:rPr>
          <w:sz w:val="22"/>
          <w:szCs w:val="22"/>
        </w:rPr>
        <w:t xml:space="preserve">Three exit points are placed at regular intervals throughout the backbone: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Exit</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Placement</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Normalized Compute Cost (c_e)</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Purpose</w:t>
            </w:r>
          </w:p>
        </w:tc>
      </w:tr>
      <w:tr>
        <w:tc>
          <w:tcPr>
            <w:tcW w:type="dxa" w:w="1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Exit 1</w:t>
            </w:r>
          </w:p>
        </w:tc>
        <w:tc>
          <w:tcPr>
            <w:tcW w:type="dxa" w:w="1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After Block 2</w:t>
            </w:r>
          </w:p>
        </w:tc>
        <w:tc>
          <w:tcPr>
            <w:tcW w:type="dxa" w:w="2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0.35</w:t>
            </w:r>
          </w:p>
        </w:tc>
        <w:tc>
          <w:tcPr>
            <w:tcW w:type="dxa" w:w="3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Fast path for easy, unambiguous inputs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Exit 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After Block 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0.70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Medium path for moderately complex inputs</w:t>
            </w:r>
          </w:p>
        </w:tc>
      </w:tr>
      <w:tr>
        <w:tc>
          <w:tcPr>
            <w:tcW w:type="dxa" w:w="1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Exit 3 (Final)</w:t>
            </w:r>
          </w:p>
        </w:tc>
        <w:tc>
          <w:tcPr>
            <w:tcW w:type="dxa" w:w="1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After Block 6</w:t>
            </w:r>
          </w:p>
        </w:tc>
        <w:tc>
          <w:tcPr>
            <w:tcW w:type="dxa" w:w="2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1.00</w:t>
            </w:r>
          </w:p>
        </w:tc>
        <w:tc>
          <w:tcPr>
            <w:tcW w:type="dxa" w:w="3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Full model for difficult, ambiguous inputs</w:t>
            </w:r>
          </w:p>
        </w:tc>
      </w:tr>
    </w:tbl>
    <w:p>
      <w:pPr>
        <w:pStyle w:val="Heading3"/>
      </w:pPr>
      <w:r>
        <w:t xml:space="preserve">4.3.2 Exit Head Structure</w:t>
      </w:r>
    </w:p>
    <w:p>
      <w:pPr>
        <w:spacing w:after="120"/>
      </w:pPr>
      <w:r>
        <w:rPr>
          <w:sz w:val="22"/>
          <w:szCs w:val="22"/>
        </w:rPr>
        <w:t xml:space="preserve">Each exit head consists of: pooling (same type as final pooling), a small MLP projecting to genre logits, and a confidence estimator. The confidence estimator can be either the maximum softmax probability or a small learned calibration head (single linear layer projecting to a scalar confidence score).</w:t>
      </w:r>
    </w:p>
    <w:p>
      <w:pPr>
        <w:pStyle w:val="Heading3"/>
      </w:pPr>
      <w:r>
        <w:t xml:space="preserve">4.3.3 Inference Decision Rule</w:t>
      </w:r>
    </w:p>
    <w:p>
      <w:pPr>
        <w:spacing w:after="120"/>
      </w:pPr>
      <w:r>
        <w:rPr>
          <w:sz w:val="22"/>
          <w:szCs w:val="22"/>
        </w:rPr>
        <w:t xml:space="preserve">At inference time, the model processes blocks sequentially. At each exit point, the confidence estimator produces a score. If the confidence exceeds a predefined threshold, the model stops and returns the current exit’s prediction. Otherwise, it continues to the next exit. The final exit always produces a prediction regardless of confidence. The threshold is a hyperparameter tuned on the validation set, with recommended values of 0.7, 0.8, and 0.9 for ablation.</w:t>
      </w:r>
    </w:p>
    <w:p>
      <w:pPr>
        <w:pStyle w:val="Heading2"/>
      </w:pPr>
      <w:r>
        <w:t xml:space="preserve">4.4 Budget-Aware Training Objective</w:t>
      </w:r>
    </w:p>
    <w:p>
      <w:pPr>
        <w:spacing w:after="120"/>
      </w:pPr>
      <w:r>
        <w:rPr>
          <w:sz w:val="22"/>
          <w:szCs w:val="22"/>
        </w:rPr>
        <w:t xml:space="preserve">The training objective consists of two components that together encourage the model to produce accurate predictions as early as possible.</w:t>
      </w:r>
    </w:p>
    <w:p>
      <w:pPr>
        <w:pStyle w:val="Heading3"/>
      </w:pPr>
      <w:r>
        <w:t xml:space="preserve">4.4.1 Deep Supervision Loss</w:t>
      </w:r>
    </w:p>
    <w:p>
      <w:pPr>
        <w:spacing w:after="120"/>
      </w:pPr>
      <w:r>
        <w:rPr>
          <w:sz w:val="22"/>
          <w:szCs w:val="22"/>
        </w:rPr>
        <w:t xml:space="preserve">All three exits are supervised simultaneously during training:</w:t>
      </w:r>
    </w:p>
    <w:p>
      <w:pPr>
        <w:spacing w:after="80"/>
      </w:pPr>
    </w:p>
    <w:p>
      <w:pPr>
        <w:spacing w:after="120"/>
      </w:pPr>
      <w:r>
        <w:rPr>
          <w:sz w:val="22"/>
          <w:szCs w:val="22"/>
        </w:rPr>
        <w:t xml:space="preserve">L_cls = w_1 × CE(y, ŷ_1) + w_2 × CE(y, ŷ_2) + w_3 × CE(y, ŷ_3)</w:t>
      </w:r>
    </w:p>
    <w:p>
      <w:pPr>
        <w:spacing w:after="80"/>
      </w:pPr>
    </w:p>
    <w:p>
      <w:pPr>
        <w:spacing w:after="120"/>
      </w:pPr>
      <w:r>
        <w:rPr>
          <w:sz w:val="22"/>
          <w:szCs w:val="22"/>
        </w:rPr>
        <w:t xml:space="preserve">The recommended starting weights are w = [0.2, 0.3, 0.5], giving the final exit the highest weight since it has access to the most information. These weights are hyperparameters that can be tuned.</w:t>
      </w:r>
    </w:p>
    <w:p>
      <w:pPr>
        <w:pStyle w:val="Heading3"/>
      </w:pPr>
      <w:r>
        <w:t xml:space="preserve">4.4.2 Budget Penalty</w:t>
      </w:r>
    </w:p>
    <w:p>
      <w:pPr>
        <w:spacing w:after="120"/>
      </w:pPr>
      <w:r>
        <w:rPr>
          <w:sz w:val="22"/>
          <w:szCs w:val="22"/>
        </w:rPr>
        <w:t xml:space="preserve">A budget penalty encourages the model to be confident at earlier exits, reducing average compute at inference. During training, exit probabilities are computed using a soft gating signal g_e from a confidence head or small gating MLP. The budget loss is:</w:t>
      </w:r>
    </w:p>
    <w:p>
      <w:pPr>
        <w:spacing w:after="80"/>
      </w:pPr>
    </w:p>
    <w:p>
      <w:pPr>
        <w:spacing w:after="120"/>
      </w:pPr>
      <w:r>
        <w:rPr>
          <w:sz w:val="22"/>
          <w:szCs w:val="22"/>
        </w:rPr>
        <w:t xml:space="preserve">L_budget = λ × Σ_e (p_e × c_e)</w:t>
      </w:r>
    </w:p>
    <w:p>
      <w:pPr>
        <w:spacing w:after="80"/>
      </w:pPr>
    </w:p>
    <w:p>
      <w:pPr>
        <w:spacing w:after="120"/>
      </w:pPr>
      <w:r>
        <w:rPr>
          <w:sz w:val="22"/>
          <w:szCs w:val="22"/>
        </w:rPr>
        <w:t xml:space="preserve">where p_e is the exit probability (computed as softmax over gating logits, making it differentiable) and c_e is the normalized compute cost at exit e. The hyperparameter λ controls the strength of the budget penalty, with recommended starting values of 0.01–0.05.</w:t>
      </w:r>
    </w:p>
    <w:p>
      <w:pPr>
        <w:pStyle w:val="Heading3"/>
      </w:pPr>
      <w:r>
        <w:t xml:space="preserve">4.4.3 Total Training Loss</w:t>
      </w:r>
    </w:p>
    <w:p>
      <w:pPr>
        <w:spacing w:after="120"/>
      </w:pPr>
      <w:r>
        <w:rPr>
          <w:sz w:val="22"/>
          <w:szCs w:val="22"/>
        </w:rPr>
        <w:t xml:space="preserve">The complete training loss without artist invariance is:</w:t>
      </w:r>
    </w:p>
    <w:p>
      <w:pPr>
        <w:spacing w:after="80"/>
      </w:pPr>
    </w:p>
    <w:p>
      <w:pPr>
        <w:spacing w:after="120"/>
      </w:pPr>
      <w:r>
        <w:rPr>
          <w:sz w:val="22"/>
          <w:szCs w:val="22"/>
        </w:rPr>
        <w:t xml:space="preserve">L = L_cls + L_budget</w:t>
      </w:r>
    </w:p>
    <w:p>
      <w:pPr>
        <w:spacing w:after="80"/>
      </w:pPr>
    </w:p>
    <w:p>
      <w:pPr>
        <w:spacing w:after="120"/>
      </w:pPr>
      <w:r>
        <w:rPr>
          <w:sz w:val="22"/>
          <w:szCs w:val="22"/>
        </w:rPr>
        <w:t xml:space="preserve">At inference, hard thresholds replace the soft gating for deterministic early exit decisions.</w:t>
      </w:r>
    </w:p>
    <w:p>
      <w:pPr>
        <w:pStyle w:val="Heading2"/>
      </w:pPr>
      <w:r>
        <w:t xml:space="preserve">4.5 Artist-Invariance Module</w:t>
      </w:r>
    </w:p>
    <w:p>
      <w:pPr>
        <w:spacing w:after="120"/>
      </w:pPr>
      <w:r>
        <w:rPr>
          <w:sz w:val="22"/>
          <w:szCs w:val="22"/>
        </w:rPr>
        <w:t xml:space="preserve">This module is active only for datasets with artist metadata (FMA and Jamendo). Its purpose is to prevent the model from relying on artist identity as a shortcut for genre prediction.</w:t>
      </w:r>
    </w:p>
    <w:p>
      <w:pPr>
        <w:pStyle w:val="Heading3"/>
      </w:pPr>
      <w:r>
        <w:t xml:space="preserve">4.5.1 Option A: Gradient Reversal Layer (Recommended)</w:t>
      </w:r>
    </w:p>
    <w:p>
      <w:pPr>
        <w:spacing w:after="120"/>
      </w:pPr>
      <w:r>
        <w:rPr>
          <w:sz w:val="22"/>
          <w:szCs w:val="22"/>
        </w:rPr>
        <w:t xml:space="preserve">An auxiliary artist classifier head is attached to the shared embedding:</w:t>
      </w:r>
    </w:p>
    <w:p>
      <w:pPr>
        <w:pStyle w:val="ListParagraph"/>
        <w:numPr>
          <w:ilvl w:val="0"/>
          <w:numId w:val="2"/>
        </w:numPr>
        <w:spacing w:after="60"/>
      </w:pPr>
      <w:r>
        <w:rPr>
          <w:sz w:val="22"/>
          <w:szCs w:val="22"/>
        </w:rPr>
        <w:t xml:space="preserve">The shared embedding feeds through a Gradient Reversal Layer (GRL) into an artist classification head.</w:t>
      </w:r>
    </w:p>
    <w:p>
      <w:pPr>
        <w:pStyle w:val="ListParagraph"/>
        <w:numPr>
          <w:ilvl w:val="0"/>
          <w:numId w:val="2"/>
        </w:numPr>
        <w:spacing w:after="60"/>
      </w:pPr>
      <w:r>
        <w:rPr>
          <w:sz w:val="22"/>
          <w:szCs w:val="22"/>
        </w:rPr>
        <w:t xml:space="preserve">The GRL flips gradient signs during backpropagation: the artist head tries to predict the artist, but the reversed gradients push the trunk to produce artist-invariant representations.</w:t>
      </w:r>
    </w:p>
    <w:p>
      <w:pPr>
        <w:pStyle w:val="ListParagraph"/>
        <w:numPr>
          <w:ilvl w:val="0"/>
          <w:numId w:val="2"/>
        </w:numPr>
        <w:spacing w:after="60"/>
      </w:pPr>
      <w:r>
        <w:rPr>
          <w:sz w:val="22"/>
          <w:szCs w:val="22"/>
        </w:rPr>
        <w:t xml:space="preserve">The combined loss becomes: L = L_cls + L_budget + α × CE(artist, artist̂)</w:t>
      </w:r>
    </w:p>
    <w:p>
      <w:pPr>
        <w:pStyle w:val="ListParagraph"/>
        <w:numPr>
          <w:ilvl w:val="0"/>
          <w:numId w:val="2"/>
        </w:numPr>
        <w:spacing w:after="60"/>
      </w:pPr>
      <w:r>
        <w:rPr>
          <w:sz w:val="22"/>
          <w:szCs w:val="22"/>
        </w:rPr>
        <w:t xml:space="preserve">The hyperparameter α controls the strength of artist invariance, with recommended values of 0.1–0.5.</w:t>
      </w:r>
    </w:p>
    <w:p>
      <w:pPr>
        <w:spacing w:after="120"/>
      </w:pPr>
      <w:r>
        <w:rPr>
          <w:sz w:val="22"/>
          <w:szCs w:val="22"/>
        </w:rPr>
        <w:t xml:space="preserve">Note: The artist head is only used during training and is discarded at inference.</w:t>
      </w:r>
    </w:p>
    <w:p>
      <w:pPr>
        <w:pStyle w:val="Heading3"/>
      </w:pPr>
      <w:r>
        <w:t xml:space="preserve">4.5.2 Option B: GroupDRO</w:t>
      </w:r>
    </w:p>
    <w:p>
      <w:pPr>
        <w:spacing w:after="120"/>
      </w:pPr>
      <w:r>
        <w:rPr>
          <w:sz w:val="22"/>
          <w:szCs w:val="22"/>
        </w:rPr>
        <w:t xml:space="preserve">Group Distributionally Robust Optimization treats each artist as a group and optimizes the worst-group (highest) loss across all artist groups. This naturally discourages the model from relying on artist-specific features since improving the worst-performing group requires learning features that generalize across artists. GroupDRO requires no additional network heads and provides a clean robustness framing for the paper.</w:t>
      </w:r>
    </w:p>
    <w:p>
      <w:pPr>
        <w:pStyle w:val="Heading3"/>
      </w:pPr>
      <w:r>
        <w:t xml:space="preserve">4.5.3 Recommendation</w:t>
      </w:r>
    </w:p>
    <w:p>
      <w:pPr>
        <w:spacing w:after="120"/>
      </w:pPr>
      <w:r>
        <w:rPr>
          <w:sz w:val="22"/>
          <w:szCs w:val="22"/>
        </w:rPr>
        <w:t xml:space="preserve">Implement both options and include results from each in the ablation study. GRL is recommended as the primary method due to its explicit adversarial objective, while GroupDRO provides a complementary perspective.</w:t>
      </w:r>
    </w:p>
    <w:p>
      <w:pPr>
        <w:pStyle w:val="Heading2"/>
      </w:pPr>
      <w:r>
        <w:t xml:space="preserve">4.6 Optional: Segment Router</w:t>
      </w:r>
    </w:p>
    <w:p>
      <w:pPr>
        <w:spacing w:after="120"/>
      </w:pPr>
      <w:r>
        <w:rPr>
          <w:sz w:val="22"/>
          <w:szCs w:val="22"/>
        </w:rPr>
        <w:t xml:space="preserve">An optional component for additional novelty without heavy compute. Instead of processing all segments from a track through the full backbone, the segment router:</w:t>
      </w:r>
    </w:p>
    <w:p>
      <w:pPr>
        <w:pStyle w:val="ListParagraph"/>
        <w:numPr>
          <w:ilvl w:val="0"/>
          <w:numId w:val="3"/>
        </w:numPr>
        <w:spacing w:after="60"/>
      </w:pPr>
      <w:r>
        <w:rPr>
          <w:sz w:val="22"/>
          <w:szCs w:val="22"/>
        </w:rPr>
        <w:t xml:space="preserve">Extracts cheap features per segment (MFCC mean/standard deviation or shallow convolutional embedding).</w:t>
      </w:r>
    </w:p>
    <w:p>
      <w:pPr>
        <w:pStyle w:val="ListParagraph"/>
        <w:numPr>
          <w:ilvl w:val="0"/>
          <w:numId w:val="3"/>
        </w:numPr>
        <w:spacing w:after="60"/>
      </w:pPr>
      <w:r>
        <w:rPr>
          <w:sz w:val="22"/>
          <w:szCs w:val="22"/>
        </w:rPr>
        <w:t xml:space="preserve">Scores segments by predicted informativeness and selects the top-k most informative segments (k = 2 or 3).</w:t>
      </w:r>
    </w:p>
    <w:p>
      <w:pPr>
        <w:pStyle w:val="ListParagraph"/>
        <w:numPr>
          <w:ilvl w:val="0"/>
          <w:numId w:val="3"/>
        </w:numPr>
        <w:spacing w:after="60"/>
      </w:pPr>
      <w:r>
        <w:rPr>
          <w:sz w:val="22"/>
          <w:szCs w:val="22"/>
        </w:rPr>
        <w:t xml:space="preserve">Runs the EdgeCAAI backbone only on the selected segments.</w:t>
      </w:r>
    </w:p>
    <w:p>
      <w:pPr>
        <w:pStyle w:val="ListParagraph"/>
        <w:numPr>
          <w:ilvl w:val="0"/>
          <w:numId w:val="3"/>
        </w:numPr>
        <w:spacing w:after="60"/>
      </w:pPr>
      <w:r>
        <w:rPr>
          <w:sz w:val="22"/>
          <w:szCs w:val="22"/>
        </w:rPr>
        <w:t xml:space="preserve">Aggregates predictions across selected segments (averaging logits or voting).</w:t>
      </w:r>
    </w:p>
    <w:p>
      <w:pPr>
        <w:spacing w:after="120"/>
      </w:pPr>
      <w:r>
        <w:rPr>
          <w:sz w:val="22"/>
          <w:szCs w:val="22"/>
        </w:rPr>
        <w:t xml:space="preserve">This improves both compute efficiency (fewer segments processed deeply) and robustness (focuses on the most genre-discriminative portions of each track).</w:t>
      </w:r>
    </w:p>
    <w:p>
      <w:r>
        <w:br w:type="page"/>
      </w:r>
    </w:p>
    <w:p>
      <w:pPr>
        <w:pStyle w:val="Heading1"/>
      </w:pPr>
      <w:r>
        <w:t xml:space="preserve">5. Training Configuration</w:t>
      </w:r>
    </w:p>
    <w:p>
      <w:pPr>
        <w:pStyle w:val="Heading2"/>
      </w:pPr>
      <w:r>
        <w:t xml:space="preserve">5.1 Optimization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Parameter</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Value</w:t>
            </w:r>
          </w:p>
        </w:tc>
        <w:tc>
          <w:tcPr>
            <w:tcW w:type="dxa" w:w="47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Notes</w:t>
            </w:r>
          </w:p>
        </w:tc>
      </w:tr>
      <w:tr>
        <w:tc>
          <w:tcPr>
            <w:tcW w:type="dxa" w:w="2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Optimizer</w:t>
            </w:r>
          </w:p>
        </w:tc>
        <w:tc>
          <w:tcPr>
            <w:tcW w:type="dxa" w:w="24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AdamW</w:t>
            </w:r>
          </w:p>
        </w:tc>
        <w:tc>
          <w:tcPr>
            <w:tcW w:type="dxa" w:w="47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Standard choice for transformer-based architectures.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Learning Rate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3e-4</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With cosine decay schedule.</w:t>
            </w:r>
          </w:p>
        </w:tc>
      </w:tr>
      <w:tr>
        <w:tc>
          <w:tcPr>
            <w:tcW w:type="dxa" w:w="2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Weight Decay</w:t>
            </w:r>
          </w:p>
        </w:tc>
        <w:tc>
          <w:tcPr>
            <w:tcW w:type="dxa" w:w="24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1e-2</w:t>
            </w:r>
          </w:p>
        </w:tc>
        <w:tc>
          <w:tcPr>
            <w:tcW w:type="dxa" w:w="47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Standard AdamW regularization.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Batch Size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32</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Adjust based on available GPU/CPU memory.</w:t>
            </w:r>
          </w:p>
        </w:tc>
      </w:tr>
      <w:tr>
        <w:tc>
          <w:tcPr>
            <w:tcW w:type="dxa" w:w="2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Epochs</w:t>
            </w:r>
          </w:p>
        </w:tc>
        <w:tc>
          <w:tcPr>
            <w:tcW w:type="dxa" w:w="24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50–100</w:t>
            </w:r>
          </w:p>
        </w:tc>
        <w:tc>
          <w:tcPr>
            <w:tcW w:type="dxa" w:w="47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With early stopping on validation macro-F1.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LR Warmup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5–10% of total steps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Linear warmup to avoid early instability.</w:t>
            </w:r>
          </w:p>
        </w:tc>
      </w:tr>
    </w:tbl>
    <w:p>
      <w:pPr>
        <w:pStyle w:val="Heading2"/>
      </w:pPr>
      <w:r>
        <w:t xml:space="preserve">5.2 Regularization</w:t>
      </w:r>
    </w:p>
    <w:p>
      <w:pPr>
        <w:pStyle w:val="ListParagraph"/>
        <w:numPr>
          <w:ilvl w:val="0"/>
          <w:numId w:val="2"/>
        </w:numPr>
        <w:spacing w:after="60"/>
      </w:pPr>
      <w:r>
        <w:rPr>
          <w:sz w:val="22"/>
          <w:szCs w:val="22"/>
        </w:rPr>
        <w:t xml:space="preserve">Dropout: 0.1–0.2 applied in FFN layers and before classifier heads.</w:t>
      </w:r>
    </w:p>
    <w:p>
      <w:pPr>
        <w:pStyle w:val="ListParagraph"/>
        <w:numPr>
          <w:ilvl w:val="0"/>
          <w:numId w:val="2"/>
        </w:numPr>
        <w:spacing w:after="60"/>
      </w:pPr>
      <w:r>
        <w:rPr>
          <w:sz w:val="22"/>
          <w:szCs w:val="22"/>
        </w:rPr>
        <w:t xml:space="preserve">SpecAugment: Always enabled during training (time masks and frequency masks).</w:t>
      </w:r>
    </w:p>
    <w:p>
      <w:pPr>
        <w:pStyle w:val="ListParagraph"/>
        <w:numPr>
          <w:ilvl w:val="0"/>
          <w:numId w:val="2"/>
        </w:numPr>
        <w:spacing w:after="60"/>
      </w:pPr>
      <w:r>
        <w:rPr>
          <w:sz w:val="22"/>
          <w:szCs w:val="22"/>
        </w:rPr>
        <w:t xml:space="preserve">Mixup: Optional, with α = 0.2 for Beta distribution sampling.</w:t>
      </w:r>
    </w:p>
    <w:p>
      <w:pPr>
        <w:pStyle w:val="ListParagraph"/>
        <w:numPr>
          <w:ilvl w:val="0"/>
          <w:numId w:val="2"/>
        </w:numPr>
        <w:spacing w:after="60"/>
      </w:pPr>
      <w:r>
        <w:rPr>
          <w:sz w:val="22"/>
          <w:szCs w:val="22"/>
        </w:rPr>
        <w:t xml:space="preserve">Label Smoothing: Optional, with ε = 0.1 if used.</w:t>
      </w:r>
    </w:p>
    <w:p>
      <w:pPr>
        <w:pStyle w:val="Heading2"/>
      </w:pPr>
      <w:r>
        <w:t xml:space="preserve">5.3 Loss Weights (Starting Points)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5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Hyperparameter</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Symbol</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Recommended Range</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Starting Value</w:t>
            </w:r>
          </w:p>
        </w:tc>
      </w:tr>
      <w:tr>
        <w:tc>
          <w:tcPr>
            <w:tcW w:type="dxa" w:w="24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Exit weights</w:t>
            </w:r>
          </w:p>
        </w:tc>
        <w:tc>
          <w:tcPr>
            <w:tcW w:type="dxa" w:w="1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w = [w_1, w_2, w_3]</w:t>
            </w:r>
          </w:p>
        </w:tc>
        <w:tc>
          <w:tcPr>
            <w:tcW w:type="dxa" w:w="2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[0.1–0.3, 0.2–0.4, 0.3–0.6]</w:t>
            </w:r>
          </w:p>
        </w:tc>
        <w:tc>
          <w:tcPr>
            <w:tcW w:type="dxa" w:w="2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[0.2, 0.3, 0.5]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Budget penalty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λ</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0.005 – 0.1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0.01–0.05</w:t>
            </w:r>
          </w:p>
        </w:tc>
      </w:tr>
      <w:tr>
        <w:tc>
          <w:tcPr>
            <w:tcW w:type="dxa" w:w="24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Artist invariance (GRL)</w:t>
            </w:r>
          </w:p>
        </w:tc>
        <w:tc>
          <w:tcPr>
            <w:tcW w:type="dxa" w:w="1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α</w:t>
            </w:r>
          </w:p>
        </w:tc>
        <w:tc>
          <w:tcPr>
            <w:tcW w:type="dxa" w:w="2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0.05 – 1.0</w:t>
            </w:r>
          </w:p>
        </w:tc>
        <w:tc>
          <w:tcPr>
            <w:tcW w:type="dxa" w:w="2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0.1–0.5</w:t>
            </w:r>
          </w:p>
        </w:tc>
      </w:tr>
    </w:tbl>
    <w:p>
      <w:pPr>
        <w:pStyle w:val="Heading2"/>
      </w:pPr>
      <w:r>
        <w:t xml:space="preserve">5.4 Calibration</w:t>
      </w:r>
    </w:p>
    <w:p>
      <w:pPr>
        <w:spacing w:after="120"/>
      </w:pPr>
      <w:r>
        <w:rPr>
          <w:sz w:val="22"/>
          <w:szCs w:val="22"/>
        </w:rPr>
        <w:t xml:space="preserve">Calibration is critical for the early-exit mechanism because exit decisions depend on confidence estimates. Apply temperature scaling on the validation set independently for each exit head. After training, learn a single temperature parameter per exit that minimizes negative log-likelihood on the held-out validation set. Report Expected Calibration Error (ECE) for each exit head before and after calibration.</w:t>
      </w:r>
    </w:p>
    <w:p>
      <w:r>
        <w:br w:type="page"/>
      </w:r>
    </w:p>
    <w:p>
      <w:pPr>
        <w:pStyle w:val="Heading1"/>
      </w:pPr>
      <w:r>
        <w:t xml:space="preserve">6. Baselines</w:t>
      </w:r>
    </w:p>
    <w:p>
      <w:pPr>
        <w:spacing w:after="120"/>
      </w:pPr>
      <w:r>
        <w:rPr>
          <w:sz w:val="22"/>
          <w:szCs w:val="22"/>
        </w:rPr>
        <w:t xml:space="preserve">All baselines must be trained under identical preprocessing, split configurations, and evaluation protocols. This ensures fair comparison and isolates the effect of architecture differences.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1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Baseline</w:t>
            </w:r>
          </w:p>
        </w:tc>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Architecture</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Approximate Parameters</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Key Characteristics</w:t>
            </w:r>
          </w:p>
        </w:tc>
      </w:tr>
      <w:tr>
        <w:tc>
          <w:tcPr>
            <w:tcW w:type="dxa" w:w="1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A — Tiny CNN</w:t>
            </w:r>
          </w:p>
        </w:tc>
        <w:tc>
          <w:tcPr>
            <w:tcW w:type="dxa" w:w="2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Depthwise-separable CNN on log-mel</w:t>
            </w:r>
          </w:p>
        </w:tc>
        <w:tc>
          <w:tcPr>
            <w:tcW w:type="dxa" w:w="1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0.5–1M</w:t>
            </w:r>
          </w:p>
        </w:tc>
        <w:tc>
          <w:tcPr>
            <w:tcW w:type="dxa" w:w="31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Simplest baseline; no recurrence or attention.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B — Small CRNN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Small CNN stem + BiGRU (hidden 128)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1–2M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Captures temporal dynamics via recurrence.</w:t>
            </w:r>
          </w:p>
        </w:tc>
      </w:tr>
      <w:tr>
        <w:tc>
          <w:tcPr>
            <w:tcW w:type="dxa" w:w="1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 — MobileNetV3-Small</w:t>
            </w:r>
          </w:p>
        </w:tc>
        <w:tc>
          <w:tcPr>
            <w:tcW w:type="dxa" w:w="2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MobileNetV3-Small on spectrogram (treated as image)</w:t>
            </w:r>
          </w:p>
        </w:tc>
        <w:tc>
          <w:tcPr>
            <w:tcW w:type="dxa" w:w="1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~1.5M</w:t>
            </w:r>
          </w:p>
        </w:tc>
        <w:tc>
          <w:tcPr>
            <w:tcW w:type="dxa" w:w="31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Off-the-shelf efficient architecture; validates if standard mobile nets work for spectrograms.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D — Tiny Transformer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4 blocks, d_model 128, heads 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~1–2M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Ablation: same family as EdgeCAAI-Net but without early exit or artist invariance.</w:t>
            </w:r>
          </w:p>
        </w:tc>
      </w:tr>
      <w:tr>
        <w:tc>
          <w:tcPr>
            <w:tcW w:type="dxa" w:w="1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E — Embedding + Linear (Optional)</w:t>
            </w:r>
          </w:p>
        </w:tc>
        <w:tc>
          <w:tcPr>
            <w:tcW w:type="dxa" w:w="2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Pretrained lightweight embedding (YAMNet-like) + linear classifier</w:t>
            </w:r>
          </w:p>
        </w:tc>
        <w:tc>
          <w:tcPr>
            <w:tcW w:type="dxa" w:w="1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Varies</w:t>
            </w:r>
          </w:p>
        </w:tc>
        <w:tc>
          <w:tcPr>
            <w:tcW w:type="dxa" w:w="31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Realistic deployment baseline. Include only if it can be done cleanly without complicating the experimental setup.</w:t>
            </w:r>
          </w:p>
        </w:tc>
      </w:tr>
    </w:tbl>
    <w:p>
      <w:pPr>
        <w:spacing w:after="80"/>
      </w:pPr>
    </w:p>
    <w:p>
      <w:pPr>
        <w:spacing w:after="120"/>
      </w:pPr>
      <w:r>
        <w:rPr>
          <w:sz w:val="22"/>
          <w:szCs w:val="22"/>
        </w:rPr>
        <w:t xml:space="preserve">Baseline D (Tiny Transformer) is particularly important as it shares the same architectural family as EdgeCAAI-Net, isolating the contribution of the early-exit and artist-invariance components.</w:t>
      </w:r>
    </w:p>
    <w:p>
      <w:r>
        <w:br w:type="page"/>
      </w:r>
    </w:p>
    <w:p>
      <w:pPr>
        <w:pStyle w:val="Heading1"/>
      </w:pPr>
      <w:r>
        <w:t xml:space="preserve">7. Evaluation Protocol</w:t>
      </w:r>
    </w:p>
    <w:p>
      <w:pPr>
        <w:pStyle w:val="Heading2"/>
      </w:pPr>
      <w:r>
        <w:t xml:space="preserve">7.1 Split Configurations</w:t>
      </w:r>
    </w:p>
    <w:p>
      <w:pPr>
        <w:spacing w:after="120"/>
      </w:pPr>
      <w:r>
        <w:rPr>
          <w:sz w:val="22"/>
          <w:szCs w:val="22"/>
        </w:rPr>
        <w:t xml:space="preserve">Report results under all of the following split configurations to demonstrate robustness:</w:t>
      </w:r>
    </w:p>
    <w:p>
      <w:pPr>
        <w:pStyle w:val="ListParagraph"/>
        <w:numPr>
          <w:ilvl w:val="0"/>
          <w:numId w:val="3"/>
        </w:numPr>
        <w:spacing w:after="60"/>
      </w:pPr>
      <w:r>
        <w:rPr>
          <w:sz w:val="22"/>
          <w:szCs w:val="22"/>
        </w:rPr>
        <w:t xml:space="preserve">Track-Disjoint: Standard leak-free evaluation where no segments from the same track appear in different splits. This is the minimum acceptable evaluation standard.</w:t>
      </w:r>
    </w:p>
    <w:p>
      <w:pPr>
        <w:pStyle w:val="ListParagraph"/>
        <w:numPr>
          <w:ilvl w:val="0"/>
          <w:numId w:val="3"/>
        </w:numPr>
        <w:spacing w:after="60"/>
      </w:pPr>
      <w:r>
        <w:rPr>
          <w:sz w:val="22"/>
          <w:szCs w:val="22"/>
        </w:rPr>
        <w:t xml:space="preserve">Artist-Disjoint: The primary robustness claim. No artist appears in more than one split partition. This tests whether the model has learned genuine genre features rather than artist-specific shortcuts.</w:t>
      </w:r>
    </w:p>
    <w:p>
      <w:pPr>
        <w:pStyle w:val="ListParagraph"/>
        <w:numPr>
          <w:ilvl w:val="0"/>
          <w:numId w:val="3"/>
        </w:numPr>
        <w:spacing w:after="60"/>
      </w:pPr>
      <w:r>
        <w:rPr>
          <w:sz w:val="22"/>
          <w:szCs w:val="22"/>
        </w:rPr>
        <w:t xml:space="preserve">Cross-Dataset Generalization (Optional): Train on FMA, test on GTZAN or Jamendo with mapped genre labels. This tests out-of-distribution generalization across different recording conditions and curation biases.</w:t>
      </w:r>
    </w:p>
    <w:p>
      <w:pPr>
        <w:pStyle w:val="Heading2"/>
      </w:pPr>
      <w:r>
        <w:t xml:space="preserve">7.2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Metric</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Type</w:t>
            </w:r>
          </w:p>
        </w:tc>
        <w:tc>
          <w:tcPr>
            <w:tcW w:type="dxa" w:w="5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Purpose</w:t>
            </w:r>
          </w:p>
        </w:tc>
      </w:tr>
      <w:tr>
        <w:tc>
          <w:tcPr>
            <w:tcW w:type="dxa" w:w="24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Macro-F1</w:t>
            </w:r>
          </w:p>
        </w:tc>
        <w:tc>
          <w:tcPr>
            <w:tcW w:type="dxa" w:w="1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Classification</w:t>
            </w:r>
          </w:p>
        </w:tc>
        <w:tc>
          <w:tcPr>
            <w:tcW w:type="dxa" w:w="53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Primary metric. Handles class imbalance by weighting each genre equally.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Balanced Accuracy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Classification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Secondary metric. Average per-class recall.</w:t>
            </w:r>
          </w:p>
        </w:tc>
      </w:tr>
      <w:tr>
        <w:tc>
          <w:tcPr>
            <w:tcW w:type="dxa" w:w="24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Confusion Matrix</w:t>
            </w:r>
          </w:p>
        </w:tc>
        <w:tc>
          <w:tcPr>
            <w:tcW w:type="dxa" w:w="1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Classification</w:t>
            </w:r>
          </w:p>
        </w:tc>
        <w:tc>
          <w:tcPr>
            <w:tcW w:type="dxa" w:w="53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Per-genre analysis. Reveals which genre pairs are most often confused.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ECE (Expected Calibration Error)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Calibration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Per-exit-head calibration quality. Critical for early exit reliability.</w:t>
            </w:r>
          </w:p>
        </w:tc>
      </w:tr>
      <w:tr>
        <w:tc>
          <w:tcPr>
            <w:tcW w:type="dxa" w:w="24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FLOPs</w:t>
            </w:r>
          </w:p>
        </w:tc>
        <w:tc>
          <w:tcPr>
            <w:tcW w:type="dxa" w:w="1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Compute</w:t>
            </w:r>
          </w:p>
        </w:tc>
        <w:tc>
          <w:tcPr>
            <w:tcW w:type="dxa" w:w="53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Theoretical compute cost per inference (for each exit path).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Parameter Count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Compute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Total model size for deployment sizing.</w:t>
            </w:r>
          </w:p>
        </w:tc>
      </w:tr>
      <w:tr>
        <w:tc>
          <w:tcPr>
            <w:tcW w:type="dxa" w:w="24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CPU Latency (ms)</w:t>
            </w:r>
          </w:p>
        </w:tc>
        <w:tc>
          <w:tcPr>
            <w:tcW w:type="dxa" w:w="1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Compute</w:t>
            </w:r>
          </w:p>
        </w:tc>
        <w:tc>
          <w:tcPr>
            <w:tcW w:type="dxa" w:w="53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Measured wall-clock latency on a fixed hardware configuration.</w:t>
            </w:r>
          </w:p>
        </w:tc>
      </w:tr>
    </w:tbl>
    <w:p>
      <w:pPr>
        <w:pStyle w:val="Heading2"/>
      </w:pPr>
      <w:r>
        <w:t xml:space="preserve">7.3 Latency Reporting</w:t>
      </w:r>
    </w:p>
    <w:p>
      <w:pPr>
        <w:spacing w:after="120"/>
      </w:pPr>
      <w:r>
        <w:rPr>
          <w:sz w:val="22"/>
          <w:szCs w:val="22"/>
        </w:rPr>
        <w:t xml:space="preserve">Latency measurements must follow a standardized protocol for publishable results:</w:t>
      </w:r>
    </w:p>
    <w:p>
      <w:pPr>
        <w:pStyle w:val="ListParagraph"/>
        <w:numPr>
          <w:ilvl w:val="0"/>
          <w:numId w:val="2"/>
        </w:numPr>
        <w:spacing w:after="60"/>
      </w:pPr>
      <w:r>
        <w:rPr>
          <w:sz w:val="22"/>
          <w:szCs w:val="22"/>
        </w:rPr>
        <w:t xml:space="preserve">Measure on a fixed input length of 3 seconds (matching the segment length).</w:t>
      </w:r>
    </w:p>
    <w:p>
      <w:pPr>
        <w:pStyle w:val="ListParagraph"/>
        <w:numPr>
          <w:ilvl w:val="0"/>
          <w:numId w:val="2"/>
        </w:numPr>
        <w:spacing w:after="60"/>
      </w:pPr>
      <w:r>
        <w:rPr>
          <w:sz w:val="22"/>
          <w:szCs w:val="22"/>
        </w:rPr>
        <w:t xml:space="preserve">Report separate latency for Exit 1, Exit 2, and Exit 3 paths.</w:t>
      </w:r>
    </w:p>
    <w:p>
      <w:pPr>
        <w:pStyle w:val="ListParagraph"/>
        <w:numPr>
          <w:ilvl w:val="0"/>
          <w:numId w:val="2"/>
        </w:numPr>
        <w:spacing w:after="60"/>
      </w:pPr>
      <w:r>
        <w:rPr>
          <w:sz w:val="22"/>
          <w:szCs w:val="22"/>
        </w:rPr>
        <w:t xml:space="preserve">Report average latency under the chosen confidence threshold policy (weighted by the proportion of inputs that exit at each point).</w:t>
      </w:r>
    </w:p>
    <w:p>
      <w:pPr>
        <w:pStyle w:val="ListParagraph"/>
        <w:numPr>
          <w:ilvl w:val="0"/>
          <w:numId w:val="2"/>
        </w:numPr>
        <w:spacing w:after="60"/>
      </w:pPr>
      <w:r>
        <w:rPr>
          <w:sz w:val="22"/>
          <w:szCs w:val="22"/>
        </w:rPr>
        <w:t xml:space="preserve">Specify the exact hardware used for measurement (CPU model, clock speed, RAM).</w:t>
      </w:r>
    </w:p>
    <w:p>
      <w:pPr>
        <w:pStyle w:val="ListParagraph"/>
        <w:numPr>
          <w:ilvl w:val="0"/>
          <w:numId w:val="2"/>
        </w:numPr>
        <w:spacing w:after="60"/>
      </w:pPr>
      <w:r>
        <w:rPr>
          <w:sz w:val="22"/>
          <w:szCs w:val="22"/>
        </w:rPr>
        <w:t xml:space="preserve">Run at least 100 inferences and report mean and standard deviation of latency.</w:t>
      </w:r>
    </w:p>
    <w:p>
      <w:pPr>
        <w:pStyle w:val="Heading2"/>
      </w:pPr>
      <w:r>
        <w:t xml:space="preserve">7.4 Pareto Curve</w:t>
      </w:r>
    </w:p>
    <w:p>
      <w:pPr>
        <w:spacing w:after="120"/>
      </w:pPr>
      <w:r>
        <w:rPr>
          <w:sz w:val="22"/>
          <w:szCs w:val="22"/>
        </w:rPr>
        <w:t xml:space="preserve">The Pareto curve is the central result figure of the paper. It plots latency (ms) or FLOPs on the x-axis against macro-F1 on the y-axis. Each point represents a different operating configuration: different confidence thresholds for EdgeCAAI-Net, and single operating points for each baseline. The curve should clearly demonstrate that EdgeCAAI-Net offers a superior accuracy–latency tradeoff.</w:t>
      </w:r>
    </w:p>
    <w:p>
      <w:r>
        <w:br w:type="page"/>
      </w:r>
    </w:p>
    <w:p>
      <w:pPr>
        <w:pStyle w:val="Heading1"/>
      </w:pPr>
      <w:r>
        <w:t xml:space="preserve">8. Ablation Study</w:t>
      </w:r>
    </w:p>
    <w:p>
      <w:pPr>
        <w:pStyle w:val="Heading2"/>
      </w:pPr>
      <w:r>
        <w:t xml:space="preserve">8.1 Module Ablations</w:t>
      </w:r>
    </w:p>
    <w:p>
      <w:pPr>
        <w:spacing w:after="120"/>
      </w:pPr>
      <w:r>
        <w:rPr>
          <w:sz w:val="22"/>
          <w:szCs w:val="22"/>
        </w:rPr>
        <w:t xml:space="preserve">The following ablations isolate the contribution of each component: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100"/>
        <w:gridCol w:w="1500"/>
        <w:gridCol w:w="3560"/>
      </w:tblGrid>
      <w:tr>
        <w:tc>
          <w:tcPr>
            <w:tcW w:type="dxa" w:w="2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Configuration</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Early Exit</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Budget Loss</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Artist Invariance</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Purpose</w:t>
            </w:r>
          </w:p>
        </w:tc>
      </w:tr>
      <w:tr>
        <w:tc>
          <w:tcPr>
            <w:tcW w:type="dxa" w:w="21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Backbone Only</w:t>
            </w:r>
          </w:p>
        </w:tc>
        <w:tc>
          <w:tcPr>
            <w:tcW w:type="dxa" w:w="11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No</w:t>
            </w:r>
          </w:p>
        </w:tc>
        <w:tc>
          <w:tcPr>
            <w:tcW w:type="dxa" w:w="11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No</w:t>
            </w:r>
          </w:p>
        </w:tc>
        <w:tc>
          <w:tcPr>
            <w:tcW w:type="dxa" w:w="15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No</w:t>
            </w:r>
          </w:p>
        </w:tc>
        <w:tc>
          <w:tcPr>
            <w:tcW w:type="dxa" w:w="3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Establishes the base performance of the architecture alone.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 Early Exit (no budget)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No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Shows the effect of multi-exit with deep supervision but without compute incentives.</w:t>
            </w:r>
          </w:p>
        </w:tc>
      </w:tr>
      <w:tr>
        <w:tc>
          <w:tcPr>
            <w:tcW w:type="dxa" w:w="21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 Budget-Aware Loss</w:t>
            </w:r>
          </w:p>
        </w:tc>
        <w:tc>
          <w:tcPr>
            <w:tcW w:type="dxa" w:w="11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Yes</w:t>
            </w:r>
          </w:p>
        </w:tc>
        <w:tc>
          <w:tcPr>
            <w:tcW w:type="dxa" w:w="11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Yes</w:t>
            </w:r>
          </w:p>
        </w:tc>
        <w:tc>
          <w:tcPr>
            <w:tcW w:type="dxa" w:w="15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No</w:t>
            </w:r>
          </w:p>
        </w:tc>
        <w:tc>
          <w:tcPr>
            <w:tcW w:type="dxa" w:w="3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Demonstrates whether the budget penalty improves the early exit distribution.</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 Artist Invariance (GRL)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GRL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Full model with gradient reversal for artist invariance.</w:t>
            </w:r>
          </w:p>
        </w:tc>
      </w:tr>
      <w:tr>
        <w:tc>
          <w:tcPr>
            <w:tcW w:type="dxa" w:w="21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 Artist Invariance (GroupDRO)</w:t>
            </w:r>
          </w:p>
        </w:tc>
        <w:tc>
          <w:tcPr>
            <w:tcW w:type="dxa" w:w="11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Yes</w:t>
            </w:r>
          </w:p>
        </w:tc>
        <w:tc>
          <w:tcPr>
            <w:tcW w:type="dxa" w:w="11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Yes</w:t>
            </w:r>
          </w:p>
        </w:tc>
        <w:tc>
          <w:tcPr>
            <w:tcW w:type="dxa" w:w="15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GroupDRO</w:t>
            </w:r>
          </w:p>
        </w:tc>
        <w:tc>
          <w:tcPr>
            <w:tcW w:type="dxa" w:w="3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Full model with GroupDRO instead of GRL.</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 Segment Router (Optional)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GRL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Tests whether segment selection improves accuracy or efficiency.</w:t>
            </w:r>
          </w:p>
        </w:tc>
      </w:tr>
    </w:tbl>
    <w:p>
      <w:pPr>
        <w:pStyle w:val="Heading2"/>
      </w:pPr>
      <w:r>
        <w:t xml:space="preserve">8.2 Hyperparameter Ablations</w:t>
      </w:r>
    </w:p>
    <w:p>
      <w:pPr>
        <w:spacing w:after="120"/>
      </w:pPr>
      <w:r>
        <w:rPr>
          <w:sz w:val="22"/>
          <w:szCs w:val="22"/>
        </w:rPr>
        <w:t xml:space="preserve">The following hyperparameters should be varied to understand their impact:</w:t>
      </w:r>
    </w:p>
    <w:p>
      <w:pPr>
        <w:pStyle w:val="ListParagraph"/>
        <w:numPr>
          <w:ilvl w:val="0"/>
          <w:numId w:val="2"/>
        </w:numPr>
        <w:spacing w:after="60"/>
      </w:pPr>
      <w:r>
        <w:rPr>
          <w:b/>
          <w:bCs/>
          <w:sz w:val="22"/>
          <w:szCs w:val="22"/>
        </w:rPr>
        <w:t xml:space="preserve">Confidence Thresholds: </w:t>
      </w:r>
      <w:r>
        <w:rPr>
          <w:sz w:val="22"/>
          <w:szCs w:val="22"/>
        </w:rPr>
        <w:t xml:space="preserve">Evaluate at 0.7, 0.8, and 0.9. This directly controls the accuracy–latency tradeoff and generates points on the Pareto curve.</w:t>
      </w:r>
    </w:p>
    <w:p>
      <w:pPr>
        <w:pStyle w:val="ListParagraph"/>
        <w:numPr>
          <w:ilvl w:val="0"/>
          <w:numId w:val="2"/>
        </w:numPr>
        <w:spacing w:after="60"/>
      </w:pPr>
      <w:r>
        <w:rPr>
          <w:b/>
          <w:bCs/>
          <w:sz w:val="22"/>
          <w:szCs w:val="22"/>
        </w:rPr>
        <w:t xml:space="preserve">Number of Backbone Blocks: </w:t>
      </w:r>
      <w:r>
        <w:rPr>
          <w:sz w:val="22"/>
          <w:szCs w:val="22"/>
        </w:rPr>
        <w:t xml:space="preserve">Compare 4 blocks versus 6 blocks to determine if the full depth is necessary.</w:t>
      </w:r>
    </w:p>
    <w:p>
      <w:pPr>
        <w:pStyle w:val="ListParagraph"/>
        <w:numPr>
          <w:ilvl w:val="0"/>
          <w:numId w:val="2"/>
        </w:numPr>
        <w:spacing w:after="60"/>
      </w:pPr>
      <w:r>
        <w:rPr>
          <w:b/>
          <w:bCs/>
          <w:sz w:val="22"/>
          <w:szCs w:val="22"/>
        </w:rPr>
        <w:t xml:space="preserve">Mel Bins: </w:t>
      </w:r>
      <w:r>
        <w:rPr>
          <w:sz w:val="22"/>
          <w:szCs w:val="22"/>
        </w:rPr>
        <w:t xml:space="preserve">Compare 64 versus 96 mel bins to quantify the impact of frequency resolution on both accuracy and compute.</w:t>
      </w:r>
    </w:p>
    <w:p>
      <w:pPr>
        <w:pStyle w:val="ListParagraph"/>
        <w:numPr>
          <w:ilvl w:val="0"/>
          <w:numId w:val="2"/>
        </w:numPr>
        <w:spacing w:after="60"/>
      </w:pPr>
      <w:r>
        <w:rPr>
          <w:b/>
          <w:bCs/>
          <w:sz w:val="22"/>
          <w:szCs w:val="22"/>
        </w:rPr>
        <w:t xml:space="preserve">Budget Penalty Strength (λ): </w:t>
      </w:r>
      <w:r>
        <w:rPr>
          <w:sz w:val="22"/>
          <w:szCs w:val="22"/>
        </w:rPr>
        <w:t xml:space="preserve">Sweep across 0.01, 0.02, and 0.05 to find the optimal tradeoff.</w:t>
      </w:r>
    </w:p>
    <w:p>
      <w:pPr>
        <w:pStyle w:val="ListParagraph"/>
        <w:numPr>
          <w:ilvl w:val="0"/>
          <w:numId w:val="2"/>
        </w:numPr>
        <w:spacing w:after="60"/>
      </w:pPr>
      <w:r>
        <w:rPr>
          <w:b/>
          <w:bCs/>
          <w:sz w:val="22"/>
          <w:szCs w:val="22"/>
        </w:rPr>
        <w:t xml:space="preserve">Artist Invariance Strength (α): </w:t>
      </w:r>
      <w:r>
        <w:rPr>
          <w:sz w:val="22"/>
          <w:szCs w:val="22"/>
        </w:rPr>
        <w:t xml:space="preserve">Sweep across 0.1, 0.2, and 0.5 for the GRL variant.</w:t>
      </w:r>
    </w:p>
    <w:p>
      <w:r>
        <w:br w:type="page"/>
      </w:r>
    </w:p>
    <w:p>
      <w:pPr>
        <w:pStyle w:val="Heading1"/>
      </w:pPr>
      <w:r>
        <w:t xml:space="preserve">9. Paper Structure</w:t>
      </w:r>
    </w:p>
    <w:p>
      <w:pPr>
        <w:spacing w:after="120"/>
      </w:pPr>
      <w:r>
        <w:rPr>
          <w:sz w:val="22"/>
          <w:szCs w:val="22"/>
        </w:rPr>
        <w:t xml:space="preserve">The final paper should follow this structure, targeting a conference or workshop venue in MIR or audio ML: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Section</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Content</w:t>
            </w:r>
          </w:p>
        </w:tc>
        <w:tc>
          <w:tcPr>
            <w:tcW w:type="dxa" w:w="4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Key Elements</w:t>
            </w:r>
          </w:p>
        </w:tc>
      </w:tr>
      <w:tr>
        <w:tc>
          <w:tcPr>
            <w:tcW w:type="dxa" w:w="1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Title</w:t>
            </w:r>
          </w:p>
        </w:tc>
        <w:tc>
          <w:tcPr>
            <w:tcW w:type="dxa" w:w="3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EdgeCAAI-Net: Lightweight Compute-Adaptive and Artist-Invariant Music Genre Classification</w:t>
            </w:r>
          </w:p>
        </w:tc>
        <w:tc>
          <w:tcPr>
            <w:tcW w:type="dxa" w:w="4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Abstract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Problem, method, and results summary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Mention leakage, compute constraints, multi-exit, budget loss, artist invariance, and Pareto results.</w:t>
            </w:r>
          </w:p>
        </w:tc>
      </w:tr>
      <w:tr>
        <w:tc>
          <w:tcPr>
            <w:tcW w:type="dxa" w:w="1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1. Introduction</w:t>
            </w:r>
          </w:p>
        </w:tc>
        <w:tc>
          <w:tcPr>
            <w:tcW w:type="dxa" w:w="3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Motivation and contributions</w:t>
            </w:r>
          </w:p>
        </w:tc>
        <w:tc>
          <w:tcPr>
            <w:tcW w:type="dxa" w:w="4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Why artist-disjoint matters, why compute-adaptive matters, bullet list of contributions.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2. Related Work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Context and positioning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Genre classification literature, efficient inference and early exits, domain generalization and artist invariance.</w:t>
            </w:r>
          </w:p>
        </w:tc>
      </w:tr>
      <w:tr>
        <w:tc>
          <w:tcPr>
            <w:tcW w:type="dxa" w:w="1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3. Protocol and Datasets</w:t>
            </w:r>
          </w:p>
        </w:tc>
        <w:tc>
          <w:tcPr>
            <w:tcW w:type="dxa" w:w="3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Experimental setup</w:t>
            </w:r>
          </w:p>
        </w:tc>
        <w:tc>
          <w:tcPr>
            <w:tcW w:type="dxa" w:w="4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Datasets, preprocessing details, split generation, metric definitions, latency measurement protocol.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4. Method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Architecture and training</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Architecture overview figure, early exits, budget loss formulation, artist invariance module.</w:t>
            </w:r>
          </w:p>
        </w:tc>
      </w:tr>
      <w:tr>
        <w:tc>
          <w:tcPr>
            <w:tcW w:type="dxa" w:w="1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5. Experiments</w:t>
            </w:r>
          </w:p>
        </w:tc>
        <w:tc>
          <w:tcPr>
            <w:tcW w:type="dxa" w:w="3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Implementation details</w:t>
            </w:r>
          </w:p>
        </w:tc>
        <w:tc>
          <w:tcPr>
            <w:tcW w:type="dxa" w:w="4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Baselines, training hyperparameters, hardware specifications.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6. Results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Main findings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Main tables (track-disjoint and artist-disjoint), Pareto curve, calibration results.</w:t>
            </w:r>
          </w:p>
        </w:tc>
      </w:tr>
      <w:tr>
        <w:tc>
          <w:tcPr>
            <w:tcW w:type="dxa" w:w="1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7. Ablations</w:t>
            </w:r>
          </w:p>
        </w:tc>
        <w:tc>
          <w:tcPr>
            <w:tcW w:type="dxa" w:w="3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Component analysis</w:t>
            </w:r>
          </w:p>
        </w:tc>
        <w:tc>
          <w:tcPr>
            <w:tcW w:type="dxa" w:w="4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Module ablations, hyperparameter sensitivity, compute tradeoff analysis.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8. Discussion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Analysis and interpretation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When early exit fails, genre confusion analysis, deployment considerations.</w:t>
            </w:r>
          </w:p>
        </w:tc>
      </w:tr>
      <w:tr>
        <w:tc>
          <w:tcPr>
            <w:tcW w:type="dxa" w:w="16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9. Conclusion and Limitations</w:t>
            </w:r>
          </w:p>
        </w:tc>
        <w:tc>
          <w:tcPr>
            <w:tcW w:type="dxa" w:w="3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Summary and honesty</w:t>
            </w:r>
          </w:p>
        </w:tc>
        <w:tc>
          <w:tcPr>
            <w:tcW w:type="dxa" w:w="45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Clear claims, acknowledged limitations (label noise, genre ambiguity, dataset size).</w:t>
            </w:r>
          </w:p>
        </w:tc>
      </w:tr>
    </w:tbl>
    <w:p>
      <w:r>
        <w:br w:type="page"/>
      </w:r>
    </w:p>
    <w:p>
      <w:pPr>
        <w:pStyle w:val="Heading1"/>
      </w:pPr>
      <w:r>
        <w:t xml:space="preserve">10. Reproducibility Package</w:t>
      </w:r>
    </w:p>
    <w:p>
      <w:pPr>
        <w:pStyle w:val="Heading2"/>
      </w:pPr>
      <w:r>
        <w:t xml:space="preserve">10.1 Repository Structure</w:t>
      </w:r>
    </w:p>
    <w:p>
      <w:pPr>
        <w:spacing w:after="120"/>
      </w:pPr>
      <w:r>
        <w:rPr>
          <w:sz w:val="22"/>
          <w:szCs w:val="22"/>
        </w:rPr>
        <w:t xml:space="preserve">The project repository must follow a clean, well-documented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2"/>
              <w:left w:val="single" w:color="2E86C1" w:sz="2"/>
              <w:bottom w:val="single" w:color="2E86C1" w:sz="2"/>
              <w:right w:val="single" w:color="2E86C1" w:sz="2"/>
            </w:tcBorders>
            <w:shd w:fill="F4F6F9" w:val="clear"/>
            <w:tcMar>
              <w:top w:type="dxa" w:w="120"/>
              <w:left w:type="dxa" w:w="200"/>
              <w:bottom w:type="dxa" w:w="120"/>
              <w:right w:type="dxa" w:w="200"/>
            </w:tcMar>
          </w:tcPr>
          <w:p>
            <w:pPr>
              <w:spacing w:after="40"/>
            </w:pPr>
            <w:r>
              <w:rPr>
                <w:rFonts w:ascii="Courier New" w:cs="Courier New" w:eastAsia="Courier New" w:hAnsi="Courier New"/>
                <w:b/>
                <w:bCs/>
                <w:sz w:val="20"/>
                <w:szCs w:val="20"/>
              </w:rPr>
              <w:t xml:space="preserve">edgecaai-net/</w:t>
            </w:r>
          </w:p>
          <w:p>
            <w:pPr>
              <w:spacing w:after="0"/>
            </w:pPr>
            <w:r>
              <w:rPr>
                <w:rFonts w:ascii="Courier New" w:cs="Courier New" w:eastAsia="Courier New" w:hAnsi="Courier New"/>
                <w:sz w:val="19"/>
                <w:szCs w:val="19"/>
              </w:rPr>
              <w:t xml:space="preserve">  data/</w:t>
            </w:r>
          </w:p>
          <w:p>
            <w:pPr>
              <w:spacing w:after="0"/>
            </w:pPr>
            <w:r>
              <w:rPr>
                <w:rFonts w:ascii="Courier New" w:cs="Courier New" w:eastAsia="Courier New" w:hAnsi="Courier New"/>
                <w:sz w:val="19"/>
                <w:szCs w:val="19"/>
              </w:rPr>
              <w:t xml:space="preserve">    raw/                    # Original audio files (optional, can be large)</w:t>
            </w:r>
          </w:p>
          <w:p>
            <w:pPr>
              <w:spacing w:after="0"/>
            </w:pPr>
            <w:r>
              <w:rPr>
                <w:rFonts w:ascii="Courier New" w:cs="Courier New" w:eastAsia="Courier New" w:hAnsi="Courier New"/>
                <w:sz w:val="19"/>
                <w:szCs w:val="19"/>
              </w:rPr>
              <w:t xml:space="preserve">    processed/              # Cached log-mel tensors (.npy or .pt)</w:t>
            </w:r>
          </w:p>
          <w:p>
            <w:pPr>
              <w:spacing w:after="0"/>
            </w:pPr>
            <w:r>
              <w:rPr>
                <w:rFonts w:ascii="Courier New" w:cs="Courier New" w:eastAsia="Courier New" w:hAnsi="Courier New"/>
                <w:sz w:val="19"/>
                <w:szCs w:val="19"/>
              </w:rPr>
              <w:t xml:space="preserve">    splits/                 # JSON split files (track-disjoint and artist-disjoint)</w:t>
            </w:r>
          </w:p>
          <w:p>
            <w:pPr>
              <w:spacing w:after="0"/>
            </w:pPr>
            <w:r>
              <w:rPr>
                <w:rFonts w:ascii="Courier New" w:cs="Courier New" w:eastAsia="Courier New" w:hAnsi="Courier New"/>
                <w:sz w:val="19"/>
                <w:szCs w:val="19"/>
              </w:rPr>
              <w:t xml:space="preserve">  models/</w:t>
            </w:r>
          </w:p>
          <w:p>
            <w:pPr>
              <w:spacing w:after="0"/>
            </w:pPr>
            <w:r>
              <w:rPr>
                <w:rFonts w:ascii="Courier New" w:cs="Courier New" w:eastAsia="Courier New" w:hAnsi="Courier New"/>
                <w:sz w:val="19"/>
                <w:szCs w:val="19"/>
              </w:rPr>
              <w:t xml:space="preserve">    edgecaai_net.py          # Main model architecture</w:t>
            </w:r>
          </w:p>
          <w:p>
            <w:pPr>
              <w:spacing w:after="0"/>
            </w:pPr>
            <w:r>
              <w:rPr>
                <w:rFonts w:ascii="Courier New" w:cs="Courier New" w:eastAsia="Courier New" w:hAnsi="Courier New"/>
                <w:sz w:val="19"/>
                <w:szCs w:val="19"/>
              </w:rPr>
              <w:t xml:space="preserve">    exits.py                 # Early exit heads and confidence estimators</w:t>
            </w:r>
          </w:p>
          <w:p>
            <w:pPr>
              <w:spacing w:after="0"/>
            </w:pPr>
            <w:r>
              <w:rPr>
                <w:rFonts w:ascii="Courier New" w:cs="Courier New" w:eastAsia="Courier New" w:hAnsi="Courier New"/>
                <w:sz w:val="19"/>
                <w:szCs w:val="19"/>
              </w:rPr>
              <w:t xml:space="preserve">    artist_invariance.py     # GRL and GroupDRO modules</w:t>
            </w:r>
          </w:p>
          <w:p>
            <w:pPr>
              <w:spacing w:after="0"/>
            </w:pPr>
            <w:r>
              <w:rPr>
                <w:rFonts w:ascii="Courier New" w:cs="Courier New" w:eastAsia="Courier New" w:hAnsi="Courier New"/>
                <w:sz w:val="19"/>
                <w:szCs w:val="19"/>
              </w:rPr>
              <w:t xml:space="preserve">    baselines/               # All baseline model implementations</w:t>
            </w:r>
          </w:p>
          <w:p>
            <w:pPr>
              <w:spacing w:after="0"/>
            </w:pPr>
            <w:r>
              <w:rPr>
                <w:rFonts w:ascii="Courier New" w:cs="Courier New" w:eastAsia="Courier New" w:hAnsi="Courier New"/>
                <w:sz w:val="19"/>
                <w:szCs w:val="19"/>
              </w:rPr>
              <w:t xml:space="preserve">  configs/</w:t>
            </w:r>
          </w:p>
          <w:p>
            <w:pPr>
              <w:spacing w:after="0"/>
            </w:pPr>
            <w:r>
              <w:rPr>
                <w:rFonts w:ascii="Courier New" w:cs="Courier New" w:eastAsia="Courier New" w:hAnsi="Courier New"/>
                <w:sz w:val="19"/>
                <w:szCs w:val="19"/>
              </w:rPr>
              <w:t xml:space="preserve">    fma_artist_disjoint.yaml # Full experiment config for FMA artist-disjoint</w:t>
            </w:r>
          </w:p>
          <w:p>
            <w:pPr>
              <w:spacing w:after="0"/>
            </w:pPr>
            <w:r>
              <w:rPr>
                <w:rFonts w:ascii="Courier New" w:cs="Courier New" w:eastAsia="Courier New" w:hAnsi="Courier New"/>
                <w:sz w:val="19"/>
                <w:szCs w:val="19"/>
              </w:rPr>
              <w:t xml:space="preserve">    fma_track_disjoint.yaml  # Full experiment config for FMA track-disjoint</w:t>
            </w:r>
          </w:p>
          <w:p>
            <w:pPr>
              <w:spacing w:after="0"/>
            </w:pPr>
            <w:r>
              <w:rPr>
                <w:rFonts w:ascii="Courier New" w:cs="Courier New" w:eastAsia="Courier New" w:hAnsi="Courier New"/>
                <w:sz w:val="19"/>
                <w:szCs w:val="19"/>
              </w:rPr>
              <w:t xml:space="preserve">    jamendo_config.yaml      # Config for Jamendo experiments</w:t>
            </w:r>
          </w:p>
          <w:p>
            <w:pPr>
              <w:spacing w:after="0"/>
            </w:pPr>
            <w:r>
              <w:rPr>
                <w:rFonts w:ascii="Courier New" w:cs="Courier New" w:eastAsia="Courier New" w:hAnsi="Courier New"/>
                <w:sz w:val="19"/>
                <w:szCs w:val="19"/>
              </w:rPr>
              <w:t xml:space="preserve">  scripts/</w:t>
            </w:r>
          </w:p>
          <w:p>
            <w:pPr>
              <w:spacing w:after="0"/>
            </w:pPr>
            <w:r>
              <w:rPr>
                <w:rFonts w:ascii="Courier New" w:cs="Courier New" w:eastAsia="Courier New" w:hAnsi="Courier New"/>
                <w:sz w:val="19"/>
                <w:szCs w:val="19"/>
              </w:rPr>
              <w:t xml:space="preserve">    make_splits.py           # Split generation with leakage checks</w:t>
            </w:r>
          </w:p>
          <w:p>
            <w:pPr>
              <w:spacing w:after="0"/>
            </w:pPr>
            <w:r>
              <w:rPr>
                <w:rFonts w:ascii="Courier New" w:cs="Courier New" w:eastAsia="Courier New" w:hAnsi="Courier New"/>
                <w:sz w:val="19"/>
                <w:szCs w:val="19"/>
              </w:rPr>
              <w:t xml:space="preserve">    cache_features.py        # Audio to log-mel preprocessing</w:t>
            </w:r>
          </w:p>
          <w:p>
            <w:pPr>
              <w:spacing w:after="0"/>
            </w:pPr>
            <w:r>
              <w:rPr>
                <w:rFonts w:ascii="Courier New" w:cs="Courier New" w:eastAsia="Courier New" w:hAnsi="Courier New"/>
                <w:sz w:val="19"/>
                <w:szCs w:val="19"/>
              </w:rPr>
              <w:t xml:space="preserve">    measure_latency.py       # Standardized latency benchmarking</w:t>
            </w:r>
          </w:p>
          <w:p>
            <w:pPr>
              <w:spacing w:after="0"/>
            </w:pPr>
            <w:r>
              <w:rPr>
                <w:rFonts w:ascii="Courier New" w:cs="Courier New" w:eastAsia="Courier New" w:hAnsi="Courier New"/>
                <w:sz w:val="19"/>
                <w:szCs w:val="19"/>
              </w:rPr>
              <w:t xml:space="preserve">  train.py                   # Training entry point</w:t>
            </w:r>
          </w:p>
          <w:p>
            <w:pPr>
              <w:spacing w:after="0"/>
            </w:pPr>
            <w:r>
              <w:rPr>
                <w:rFonts w:ascii="Courier New" w:cs="Courier New" w:eastAsia="Courier New" w:hAnsi="Courier New"/>
                <w:sz w:val="19"/>
                <w:szCs w:val="19"/>
              </w:rPr>
              <w:t xml:space="preserve">  eval.py                    # Evaluation and metrics computation</w:t>
            </w:r>
          </w:p>
          <w:p>
            <w:pPr>
              <w:spacing w:after="0"/>
            </w:pPr>
            <w:r>
              <w:rPr>
                <w:rFonts w:ascii="Courier New" w:cs="Courier New" w:eastAsia="Courier New" w:hAnsi="Courier New"/>
                <w:sz w:val="19"/>
                <w:szCs w:val="19"/>
              </w:rPr>
              <w:t xml:space="preserve">  results/</w:t>
            </w:r>
          </w:p>
          <w:p>
            <w:pPr>
              <w:spacing w:after="0"/>
            </w:pPr>
            <w:r>
              <w:rPr>
                <w:rFonts w:ascii="Courier New" w:cs="Courier New" w:eastAsia="Courier New" w:hAnsi="Courier New"/>
                <w:sz w:val="19"/>
                <w:szCs w:val="19"/>
              </w:rPr>
              <w:t xml:space="preserve">    tables/                  # LaTeX-formatted result tables</w:t>
            </w:r>
          </w:p>
          <w:p>
            <w:pPr>
              <w:spacing w:after="0"/>
            </w:pPr>
            <w:r>
              <w:rPr>
                <w:rFonts w:ascii="Courier New" w:cs="Courier New" w:eastAsia="Courier New" w:hAnsi="Courier New"/>
                <w:sz w:val="19"/>
                <w:szCs w:val="19"/>
              </w:rPr>
              <w:t xml:space="preserve">    plots/                   # Generated figures (Pareto curve, confusion, etc.)</w:t>
            </w:r>
          </w:p>
          <w:p>
            <w:pPr>
              <w:spacing w:after="0"/>
            </w:pPr>
            <w:r>
              <w:rPr>
                <w:rFonts w:ascii="Courier New" w:cs="Courier New" w:eastAsia="Courier New" w:hAnsi="Courier New"/>
                <w:sz w:val="19"/>
                <w:szCs w:val="19"/>
              </w:rPr>
              <w:t xml:space="preserve">  requirements.txt           # Exact Python dependencies with versions</w:t>
            </w:r>
          </w:p>
          <w:p>
            <w:pPr>
              <w:spacing w:after="0"/>
            </w:pPr>
            <w:r>
              <w:rPr>
                <w:rFonts w:ascii="Courier New" w:cs="Courier New" w:eastAsia="Courier New" w:hAnsi="Courier New"/>
                <w:sz w:val="19"/>
                <w:szCs w:val="19"/>
              </w:rPr>
              <w:t xml:space="preserve">  README.md                  # Setup and reproduction instructions</w:t>
            </w:r>
          </w:p>
        </w:tc>
      </w:tr>
    </w:tbl>
    <w:p>
      <w:pPr>
        <w:pStyle w:val="Heading2"/>
      </w:pPr>
      <w:r>
        <w:t xml:space="preserve">10.2 Required Artifacts</w:t>
      </w:r>
    </w:p>
    <w:p>
      <w:pPr>
        <w:spacing w:after="120"/>
      </w:pPr>
      <w:r>
        <w:rPr>
          <w:sz w:val="22"/>
          <w:szCs w:val="22"/>
        </w:rPr>
        <w:t xml:space="preserve">The following artifacts must be included in the repository or made available for download to ensure full reproducibility:</w:t>
      </w:r>
    </w:p>
    <w:p>
      <w:pPr>
        <w:pStyle w:val="ListParagraph"/>
        <w:numPr>
          <w:ilvl w:val="0"/>
          <w:numId w:val="3"/>
        </w:numPr>
        <w:spacing w:after="60"/>
      </w:pPr>
      <w:r>
        <w:rPr>
          <w:sz w:val="22"/>
          <w:szCs w:val="22"/>
        </w:rPr>
        <w:t xml:space="preserve">Seeded Split Files: Exact JSON files used for all experiments, including random seeds used for generation.</w:t>
      </w:r>
    </w:p>
    <w:p>
      <w:pPr>
        <w:pStyle w:val="ListParagraph"/>
        <w:numPr>
          <w:ilvl w:val="0"/>
          <w:numId w:val="3"/>
        </w:numPr>
        <w:spacing w:after="60"/>
      </w:pPr>
      <w:r>
        <w:rPr>
          <w:sz w:val="22"/>
          <w:szCs w:val="22"/>
        </w:rPr>
        <w:t xml:space="preserve">Preprocessing Configuration: Complete dump of all preprocessing parameters (sample rate, n_fft, hop_length, n_mels, segment length, augmentation settings).</w:t>
      </w:r>
    </w:p>
    <w:p>
      <w:pPr>
        <w:pStyle w:val="ListParagraph"/>
        <w:numPr>
          <w:ilvl w:val="0"/>
          <w:numId w:val="3"/>
        </w:numPr>
        <w:spacing w:after="60"/>
      </w:pPr>
      <w:r>
        <w:rPr>
          <w:sz w:val="22"/>
          <w:szCs w:val="22"/>
        </w:rPr>
        <w:t xml:space="preserve">Trained Checkpoints: Model weights for the best-performing configuration of each model (EdgeCAAI-Net and all baselines).</w:t>
      </w:r>
    </w:p>
    <w:p>
      <w:pPr>
        <w:pStyle w:val="ListParagraph"/>
        <w:numPr>
          <w:ilvl w:val="0"/>
          <w:numId w:val="3"/>
        </w:numPr>
        <w:spacing w:after="60"/>
      </w:pPr>
      <w:r>
        <w:rPr>
          <w:sz w:val="22"/>
          <w:szCs w:val="22"/>
        </w:rPr>
        <w:t xml:space="preserve">Plot Generation Scripts: Scripts that regenerate all paper figures from raw results files, with no manual intervention.</w:t>
      </w:r>
    </w:p>
    <w:p>
      <w:pPr>
        <w:pStyle w:val="ListParagraph"/>
        <w:numPr>
          <w:ilvl w:val="0"/>
          <w:numId w:val="3"/>
        </w:numPr>
        <w:spacing w:after="60"/>
      </w:pPr>
      <w:r>
        <w:rPr>
          <w:sz w:val="22"/>
          <w:szCs w:val="22"/>
        </w:rPr>
        <w:t xml:space="preserve">Exact Dependency Versions: A requirements.txt or environment.yml file with pinned package versions.</w:t>
      </w:r>
    </w:p>
    <w:p>
      <w:pPr>
        <w:pStyle w:val="ListParagraph"/>
        <w:numPr>
          <w:ilvl w:val="0"/>
          <w:numId w:val="3"/>
        </w:numPr>
        <w:spacing w:after="60"/>
      </w:pPr>
      <w:r>
        <w:rPr>
          <w:sz w:val="22"/>
          <w:szCs w:val="22"/>
        </w:rPr>
        <w:t xml:space="preserve">Random Seeds: All random seeds used across experiments, documented in config files.</w:t>
      </w:r>
    </w:p>
    <w:p>
      <w:r>
        <w:br w:type="page"/>
      </w:r>
    </w:p>
    <w:p>
      <w:pPr>
        <w:pStyle w:val="Heading1"/>
      </w:pPr>
      <w:r>
        <w:t xml:space="preserve">11. Novelty Positioning</w:t>
      </w:r>
    </w:p>
    <w:p>
      <w:pPr>
        <w:pStyle w:val="Heading2"/>
      </w:pPr>
      <w:r>
        <w:t xml:space="preserve">11.1 What This Project Claims</w:t>
      </w:r>
    </w:p>
    <w:p>
      <w:pPr>
        <w:spacing w:after="120"/>
      </w:pPr>
      <w:r>
        <w:rPr>
          <w:sz w:val="22"/>
          <w:szCs w:val="22"/>
        </w:rPr>
        <w:t xml:space="preserve">The novelty of this work is not a single new layer or attention mechanism. Instead, it is a system-level contribution that combines multiple lightweight techniques into a coherent framework, accompanied by a rigorous evaluation protocol. Specifically: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Novelty Dimension</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Specific Claim</w:t>
            </w:r>
          </w:p>
        </w:tc>
        <w:tc>
          <w:tcPr>
            <w:tcW w:type="dxa" w:w="4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1"/>
                <w:szCs w:val="21"/>
              </w:rPr>
              <w:t xml:space="preserve">Evidence Required</w:t>
            </w:r>
          </w:p>
        </w:tc>
      </w:tr>
      <w:tr>
        <w:tc>
          <w:tcPr>
            <w:tcW w:type="dxa" w:w="1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Compute Adaptation</w:t>
            </w:r>
          </w:p>
        </w:tc>
        <w:tc>
          <w:tcPr>
            <w:tcW w:type="dxa" w:w="3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Early exit with budget-aware training enables dynamic latency for genre classification, a setting where this has not been explored.</w:t>
            </w:r>
          </w:p>
        </w:tc>
        <w:tc>
          <w:tcPr>
            <w:tcW w:type="dxa" w:w="43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Pareto curve showing superior accuracy–latency tradeoff compared to fixed-compute baselines.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Artist Invariance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Explicit artist-invariance training (GRL or GroupDRO) as a first-class evaluation axis for genre classification.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Performance delta between track-disjoint and artist-disjoint splits, showing smaller degradation for EdgeCAAI-Net.</w:t>
            </w:r>
          </w:p>
        </w:tc>
      </w:tr>
      <w:tr>
        <w:tc>
          <w:tcPr>
            <w:tcW w:type="dxa" w:w="18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Combined System</w:t>
            </w:r>
          </w:p>
        </w:tc>
        <w:tc>
          <w:tcPr>
            <w:tcW w:type="dxa" w:w="320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The combination of lightweight compute adaptation and artist invariance in a single system is novel.</w:t>
            </w:r>
          </w:p>
        </w:tc>
        <w:tc>
          <w:tcPr>
            <w:tcW w:type="dxa" w:w="4360"/>
            <w:tcBorders>
              <w:top w:val="single" w:color="CCCCCC" w:sz="1"/>
              <w:left w:val="single" w:color="CCCCCC" w:sz="1"/>
              <w:bottom w:val="single" w:color="CCCCCC" w:sz="1"/>
              <w:right w:val="single" w:color="CCCCCC" w:sz="1"/>
            </w:tcBorders>
            <w:shd w:fill="F0F6FB" w:val="clear"/>
            <w:tcMar>
              <w:top w:type="dxa" w:w="60"/>
              <w:left w:type="dxa" w:w="100"/>
              <w:bottom w:type="dxa" w:w="60"/>
              <w:right w:type="dxa" w:w="100"/>
            </w:tcMar>
          </w:tcPr>
          <w:p>
            <w:r>
              <w:rPr>
                <w:rFonts w:ascii="Arial" w:cs="Arial" w:eastAsia="Arial" w:hAnsi="Arial"/>
                <w:sz w:val="21"/>
                <w:szCs w:val="21"/>
              </w:rPr>
              <w:t xml:space="preserve">Ablation table showing that each component contributes independently and their combination is additive or super-additive.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Evaluation Protocol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EdgeCAAI Protocol standardizes evaluation across split types and compute budgets.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1"/>
                <w:szCs w:val="21"/>
              </w:rPr>
              <w:t xml:space="preserve">Protocol description and reproducibility package enabling others to use the same evaluation framework.</w:t>
            </w:r>
          </w:p>
        </w:tc>
      </w:tr>
    </w:tbl>
    <w:p>
      <w:pPr>
        <w:pStyle w:val="Heading2"/>
      </w:pPr>
      <w:r>
        <w:t xml:space="preserve">11.2 How to Frame in the Paper</w:t>
      </w:r>
    </w:p>
    <w:p>
      <w:pPr>
        <w:spacing w:after="120"/>
      </w:pPr>
      <w:r>
        <w:rPr>
          <w:sz w:val="22"/>
          <w:szCs w:val="22"/>
        </w:rPr>
        <w:t xml:space="preserve">The introduction should lead with the observation that reported genre accuracies are unreliable due to leakage, and that real-world deployment requires both robustness and efficiency. The method section should present the components as solutions to specific sub-problems rather than as isolated techniques. The results section should make the Pareto curve the central figure, with the artist-disjoint comparison as the key robustness table. Avoid overclaiming: be transparent that individual components (early exit, GRL) exist in other domains, and that the contribution is their integration and rigorous evaluation in this specific setting.</w:t>
      </w:r>
    </w:p>
    <w:p>
      <w:r>
        <w:br w:type="page"/>
      </w:r>
    </w:p>
    <w:p>
      <w:pPr>
        <w:pStyle w:val="Heading1"/>
      </w:pPr>
      <w:r>
        <w:t xml:space="preserve">12. Known Limitations and Considerations</w:t>
      </w:r>
    </w:p>
    <w:p>
      <w:pPr>
        <w:spacing w:after="120"/>
      </w:pPr>
      <w:r>
        <w:rPr>
          <w:sz w:val="22"/>
          <w:szCs w:val="22"/>
        </w:rPr>
        <w:t xml:space="preserve">The following limitations should be acknowledged in the paper and kept in mind during the project:</w:t>
      </w:r>
    </w:p>
    <w:p>
      <w:pPr>
        <w:spacing w:after="80"/>
      </w:pPr>
    </w:p>
    <w:p>
      <w:pPr>
        <w:pStyle w:val="ListParagraph"/>
        <w:numPr>
          <w:ilvl w:val="0"/>
          <w:numId w:val="2"/>
        </w:numPr>
        <w:spacing w:after="60"/>
      </w:pPr>
      <w:r>
        <w:rPr>
          <w:b/>
          <w:bCs/>
          <w:sz w:val="22"/>
          <w:szCs w:val="22"/>
        </w:rPr>
        <w:t xml:space="preserve">Genre Ambiguity: </w:t>
      </w:r>
      <w:r>
        <w:rPr>
          <w:sz w:val="22"/>
          <w:szCs w:val="22"/>
        </w:rPr>
        <w:t xml:space="preserve">Music genre is inherently subjective and many tracks legitimately belong to multiple genres. The classification framework treats genre as a single hard label, which introduces irreducible label noise. Consider reporting inter-annotator agreement where available.</w:t>
      </w:r>
    </w:p>
    <w:p>
      <w:pPr>
        <w:pStyle w:val="ListParagraph"/>
        <w:numPr>
          <w:ilvl w:val="0"/>
          <w:numId w:val="2"/>
        </w:numPr>
        <w:spacing w:after="60"/>
      </w:pPr>
      <w:r>
        <w:rPr>
          <w:b/>
          <w:bCs/>
          <w:sz w:val="22"/>
          <w:szCs w:val="22"/>
        </w:rPr>
        <w:t xml:space="preserve">Label Noise: </w:t>
      </w:r>
      <w:r>
        <w:rPr>
          <w:sz w:val="22"/>
          <w:szCs w:val="22"/>
        </w:rPr>
        <w:t xml:space="preserve">Public datasets contain known mislabeled tracks (GTZAN in particular). Results on these datasets should be interpreted with this noise floor in mind.</w:t>
      </w:r>
    </w:p>
    <w:p>
      <w:pPr>
        <w:pStyle w:val="ListParagraph"/>
        <w:numPr>
          <w:ilvl w:val="0"/>
          <w:numId w:val="2"/>
        </w:numPr>
        <w:spacing w:after="60"/>
      </w:pPr>
      <w:r>
        <w:rPr>
          <w:b/>
          <w:bCs/>
          <w:sz w:val="22"/>
          <w:szCs w:val="22"/>
        </w:rPr>
        <w:t xml:space="preserve">Dataset Scale: </w:t>
      </w:r>
      <w:r>
        <w:rPr>
          <w:sz w:val="22"/>
          <w:szCs w:val="22"/>
        </w:rPr>
        <w:t xml:space="preserve">FMA-Small and GTZAN are relatively small by modern standards. Results may not directly transfer to industry-scale music catalogs with thousands of genres or tags.</w:t>
      </w:r>
    </w:p>
    <w:p>
      <w:pPr>
        <w:pStyle w:val="ListParagraph"/>
        <w:numPr>
          <w:ilvl w:val="0"/>
          <w:numId w:val="2"/>
        </w:numPr>
        <w:spacing w:after="60"/>
      </w:pPr>
      <w:r>
        <w:rPr>
          <w:b/>
          <w:bCs/>
          <w:sz w:val="22"/>
          <w:szCs w:val="22"/>
        </w:rPr>
        <w:t xml:space="preserve">Genre Taxonomy Differences: </w:t>
      </w:r>
      <w:r>
        <w:rPr>
          <w:sz w:val="22"/>
          <w:szCs w:val="22"/>
        </w:rPr>
        <w:t xml:space="preserve">Different datasets use different genre taxonomies. Cross-dataset evaluation requires a mapping that introduces its own biases and information loss.</w:t>
      </w:r>
    </w:p>
    <w:p>
      <w:pPr>
        <w:pStyle w:val="ListParagraph"/>
        <w:numPr>
          <w:ilvl w:val="0"/>
          <w:numId w:val="2"/>
        </w:numPr>
        <w:spacing w:after="60"/>
      </w:pPr>
      <w:r>
        <w:rPr>
          <w:b/>
          <w:bCs/>
          <w:sz w:val="22"/>
          <w:szCs w:val="22"/>
        </w:rPr>
        <w:t xml:space="preserve">Artist-Disjoint Splits and Class Balance: </w:t>
      </w:r>
      <w:r>
        <w:rPr>
          <w:sz w:val="22"/>
          <w:szCs w:val="22"/>
        </w:rPr>
        <w:t xml:space="preserve">Enforcing artist-disjoint splits can create class imbalance if certain genres are dominated by a few prolific artists. Document any resulting imbalance.</w:t>
      </w:r>
    </w:p>
    <w:p>
      <w:pPr>
        <w:pStyle w:val="ListParagraph"/>
        <w:numPr>
          <w:ilvl w:val="0"/>
          <w:numId w:val="2"/>
        </w:numPr>
        <w:spacing w:after="60"/>
      </w:pPr>
      <w:r>
        <w:rPr>
          <w:b/>
          <w:bCs/>
          <w:sz w:val="22"/>
          <w:szCs w:val="22"/>
        </w:rPr>
        <w:t xml:space="preserve">Early Exit Calibration: </w:t>
      </w:r>
      <w:r>
        <w:rPr>
          <w:sz w:val="22"/>
          <w:szCs w:val="22"/>
        </w:rPr>
        <w:t xml:space="preserve">The reliability of early exits depends heavily on calibration quality. Poorly calibrated confidence scores will either waste compute (exiting too late) or sacrifice accuracy (exiting too early). Post-hoc temperature scaling helps but may not fully solve this.</w:t>
      </w:r>
    </w:p>
    <w:p>
      <w:pPr>
        <w:pStyle w:val="ListParagraph"/>
        <w:numPr>
          <w:ilvl w:val="0"/>
          <w:numId w:val="2"/>
        </w:numPr>
        <w:spacing w:after="60"/>
      </w:pPr>
      <w:r>
        <w:rPr>
          <w:b/>
          <w:bCs/>
          <w:sz w:val="22"/>
          <w:szCs w:val="22"/>
        </w:rPr>
        <w:t xml:space="preserve">Hardware Specificity: </w:t>
      </w:r>
      <w:r>
        <w:rPr>
          <w:sz w:val="22"/>
          <w:szCs w:val="22"/>
        </w:rPr>
        <w:t xml:space="preserve">Latency measurements are specific to the hardware used. Results should clearly state the hardware configuration, and readers should expect different absolute numbers on different devices.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3"/>
              <w:left w:val="single" w:color="1B4F72" w:sz="3"/>
              <w:bottom w:val="single" w:color="1B4F72" w:sz="3"/>
              <w:right w:val="single" w:color="1B4F72" w:sz="3"/>
            </w:tcBorders>
            <w:shd w:fill="EBF5FB" w:val="clear"/>
            <w:tcMar>
              <w:top w:type="dxa" w:w="140"/>
              <w:left w:type="dxa" w:w="200"/>
              <w:bottom w:type="dxa" w:w="140"/>
              <w:right w:type="dxa" w:w="200"/>
            </w:tcMar>
          </w:tcPr>
          <w:p>
            <w:pPr>
              <w:spacing w:after="100"/>
            </w:pPr>
            <w:r>
              <w:rPr>
                <w:b/>
                <w:bCs/>
                <w:color w:val="1B4F72"/>
                <w:sz w:val="24"/>
                <w:szCs w:val="24"/>
              </w:rPr>
              <w:t xml:space="preserve">Document Summary</w:t>
            </w:r>
          </w:p>
          <w:p>
            <w:pPr>
              <w:spacing w:after="60"/>
            </w:pPr>
            <w:r>
              <w:rPr>
                <w:sz w:val="21"/>
                <w:szCs w:val="21"/>
              </w:rPr>
              <w:t xml:space="preserve">This document serves as the complete reference for the EdgeCAAI-Net project, covering research motivation, data pipeline specifications, model architecture details, training configuration, evaluation protocols, ablation design, paper structure, and reproducibility requirements. All decisions documented here should be treated as the project’s ground truth unless explicitly revised through versioned updates.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8"/>
        <w:szCs w:val="18"/>
      </w:rPr>
      <w:t xml:space="preserve">EdgeCAAI-Net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6" w:space="4"/>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2026-02-26T15:41:13.668Z</dcterms:created>
  <dcterms:modified xsi:type="dcterms:W3CDTF">2026-02-26T15:41:13.669Z</dcterms:modified>
</cp:coreProperties>
</file>

<file path=docProps/custom.xml><?xml version="1.0" encoding="utf-8"?>
<Properties xmlns="http://schemas.openxmlformats.org/officeDocument/2006/custom-properties" xmlns:vt="http://schemas.openxmlformats.org/officeDocument/2006/docPropsVTypes"/>
</file>