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advisors-status-note"/>
    <w:p>
      <w:pPr>
        <w:pStyle w:val="Heading1"/>
      </w:pPr>
      <w:r>
        <w:t xml:space="preserve">Advisors — Status Note</w:t>
      </w:r>
    </w:p>
    <w:p>
      <w:pPr>
        <w:pStyle w:val="FirstParagraph"/>
      </w:pPr>
      <w:r>
        <w:rPr>
          <w:bCs/>
          <w:b/>
        </w:rPr>
        <w:t xml:space="preserve">Status: names and credentials confirmed via the pitch deck’s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quem já</w:t>
      </w:r>
      <w:r>
        <w:rPr>
          <w:bCs/>
          <w:b/>
        </w:rPr>
        <w:t xml:space="preserve"> </w:t>
      </w:r>
      <w:r>
        <w:rPr>
          <w:bCs/>
          <w:b/>
        </w:rPr>
        <w:t xml:space="preserve">acredita na AgrosTech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list. Equity terms remain intentionally out of</w:t>
      </w:r>
      <w:r>
        <w:rPr>
          <w:bCs/>
          <w:b/>
        </w:rPr>
        <w:t xml:space="preserve"> </w:t>
      </w:r>
      <w:r>
        <w:rPr>
          <w:bCs/>
          <w:b/>
        </w:rPr>
        <w:t xml:space="preserve">scope</w:t>
      </w:r>
      <w:r>
        <w:t xml:space="preserve">, per founder instruction (2026-09-24).</w:t>
      </w:r>
    </w:p>
    <w:bookmarkStart w:id="20" w:name="who"/>
    <w:p>
      <w:pPr>
        <w:pStyle w:val="Heading2"/>
      </w:pPr>
      <w:r>
        <w:t xml:space="preserve">Who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Chaim Finziola</w:t>
      </w:r>
      <w:r>
        <w:t xml:space="preserve"> </w:t>
      </w:r>
      <w:r>
        <w:t xml:space="preserve">— co-founder of Credix ($220M+ raised); credit</w:t>
      </w:r>
      <w:r>
        <w:t xml:space="preserve"> </w:t>
      </w:r>
      <w:r>
        <w:t xml:space="preserve">protocol &amp; fintech background. Also the person who previously</w:t>
      </w:r>
      <w:r>
        <w:t xml:space="preserve"> </w:t>
      </w:r>
      <w:r>
        <w:t xml:space="preserve">reviewed and proposed fixes to the pitch deck (team logos,</w:t>
      </w:r>
      <w:r>
        <w:t xml:space="preserve"> </w:t>
      </w:r>
      <w:r>
        <w:t xml:space="preserve">bull/base/bear forecast, stated hypotheses, cap table slide) — the</w:t>
      </w:r>
      <w:r>
        <w:t xml:space="preserve"> </w:t>
      </w:r>
      <w:r>
        <w:t xml:space="preserve">current deck (</w:t>
      </w:r>
      <w:r>
        <w:rPr>
          <w:rStyle w:val="VerbatimChar"/>
        </w:rPr>
        <w:t xml:space="preserve">01-company-snapshot/AgrosTech_Pitch_Narrativo.pdf</w:t>
      </w:r>
      <w:r>
        <w:t xml:space="preserve">)</w:t>
      </w:r>
      <w:r>
        <w:t xml:space="preserve"> </w:t>
      </w:r>
      <w:r>
        <w:t xml:space="preserve">reflects those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Gilberto Damasceno</w:t>
      </w:r>
      <w:r>
        <w:t xml:space="preserve"> </w:t>
      </w:r>
      <w:r>
        <w:t xml:space="preserve">— CEO of Shamal Aerospace &amp; Defense Hub.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Michelle Souza Vilela</w:t>
      </w:r>
      <w:r>
        <w:t xml:space="preserve"> </w:t>
      </w:r>
      <w:r>
        <w:t xml:space="preserve">— PhD in Agronomy; Coordinator of Innovation</w:t>
      </w:r>
      <w:r>
        <w:t xml:space="preserve"> </w:t>
      </w:r>
      <w:r>
        <w:t xml:space="preserve">and Technology Transfer at CDT/UnB (Centro de Apoio ao Desenvolvimento</w:t>
      </w:r>
      <w:r>
        <w:t xml:space="preserve"> </w:t>
      </w:r>
      <w:r>
        <w:t xml:space="preserve">Tecnológico, Universidade de Brasília). Connected to the confirmed UnB</w:t>
      </w:r>
      <w:r>
        <w:t xml:space="preserve"> </w:t>
      </w:r>
      <w:r>
        <w:t xml:space="preserve">academic partnership (MOU) referenced in</w:t>
      </w:r>
      <w:r>
        <w:t xml:space="preserve"> </w:t>
      </w:r>
      <w:r>
        <w:rPr>
          <w:rStyle w:val="VerbatimChar"/>
        </w:rPr>
        <w:t xml:space="preserve">01-company-snapshot/CASE_STUDY.md</w:t>
      </w:r>
      <w:r>
        <w:t xml:space="preserve"> </w:t>
      </w:r>
      <w:r>
        <w:t xml:space="preserve">— the deck credits this</w:t>
      </w:r>
      <w:r>
        <w:t xml:space="preserve"> </w:t>
      </w:r>
      <w:r>
        <w:t xml:space="preserve">relationship with agronomic and technology validation.</w:t>
      </w:r>
    </w:p>
    <w:bookmarkEnd w:id="20"/>
    <w:bookmarkStart w:id="21" w:name="whats-confirmed"/>
    <w:p>
      <w:pPr>
        <w:pStyle w:val="Heading2"/>
      </w:pPr>
      <w:r>
        <w:t xml:space="preserve">What’s confirmed</w:t>
      </w:r>
    </w:p>
    <w:p>
      <w:pPr>
        <w:pStyle w:val="FirstParagraph"/>
      </w:pPr>
      <w:r>
        <w:t xml:space="preserve">All three are listed on the deck as people who already believe in</w:t>
      </w:r>
      <w:r>
        <w:t xml:space="preserve"> </w:t>
      </w:r>
      <w:r>
        <w:t xml:space="preserve">AgrosTech. This is credibility signaling for the round, distinct from</w:t>
      </w:r>
      <w:r>
        <w:t xml:space="preserve"> </w:t>
      </w:r>
      <w:r>
        <w:t xml:space="preserve">formal advisor agreements.</w:t>
      </w:r>
    </w:p>
    <w:bookmarkEnd w:id="21"/>
    <w:bookmarkStart w:id="22" w:name="whats-not-in-this-data-room-on-purpose"/>
    <w:p>
      <w:pPr>
        <w:pStyle w:val="Heading2"/>
      </w:pPr>
      <w:r>
        <w:t xml:space="preserve">What’s not in this data room, on purpose</w:t>
      </w:r>
    </w:p>
    <w:p>
      <w:pPr>
        <w:pStyle w:val="FirstParagraph"/>
      </w:pPr>
      <w:r>
        <w:t xml:space="preserve">Equity grants, vesting schedules, and formal advisor agreements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here for any of the three. This is a deliberate</w:t>
      </w:r>
      <w:r>
        <w:t xml:space="preserve"> </w:t>
      </w:r>
      <w:r>
        <w:t xml:space="preserve">scoping decision, not an omission — do not present these terms to</w:t>
      </w:r>
      <w:r>
        <w:t xml:space="preserve"> </w:t>
      </w:r>
      <w:r>
        <w:t xml:space="preserve">investors as settled, and do not infer a percentage from anything else</w:t>
      </w:r>
      <w:r>
        <w:t xml:space="preserve"> </w:t>
      </w:r>
      <w:r>
        <w:t xml:space="preserve">in this room, including their prominence on the deck’s team slide.</w:t>
      </w:r>
    </w:p>
    <w:p>
      <w:pPr>
        <w:pStyle w:val="BodyText"/>
      </w:pPr>
      <w:r>
        <w:t xml:space="preserve">If an investor asks:</w:t>
      </w:r>
      <w:r>
        <w:t xml:space="preserve"> </w:t>
      </w:r>
      <w:r>
        <w:t xml:space="preserve">“</w:t>
      </w:r>
      <w:r>
        <w:t xml:space="preserve">advisor agreements are in progress; equity terms</w:t>
      </w:r>
      <w:r>
        <w:t xml:space="preserve"> </w:t>
      </w:r>
      <w:r>
        <w:t xml:space="preserve">will be finalized and disclosed separately.</w:t>
      </w:r>
      <w:r>
        <w:t xml:space="preserve">”</w:t>
      </w:r>
      <w:r>
        <w:t xml:space="preserve"> </w:t>
      </w:r>
      <w:r>
        <w:t xml:space="preserve">When terms are finalized,</w:t>
      </w:r>
      <w:r>
        <w:t xml:space="preserve"> </w:t>
      </w:r>
      <w:r>
        <w:t xml:space="preserve">this note should be replaced with signed agreements under</w:t>
      </w:r>
      <w:r>
        <w:t xml:space="preserve"> </w:t>
      </w:r>
      <w:r>
        <w:rPr>
          <w:rStyle w:val="VerbatimChar"/>
        </w:rPr>
        <w:t xml:space="preserve">03-company-documents/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Advisor Note v2.0 | Confidencial | 2026 | Reconciled against the founder’s pitch deck (2026-09-24)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2026-09-24T13:17:03Z</dcterms:created>
  <dcterms:modified xsi:type="dcterms:W3CDTF">2026-09-24T13:17:03Z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