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eam-bios"/>
    <w:p>
      <w:pPr>
        <w:pStyle w:val="Heading1"/>
      </w:pPr>
      <w:r>
        <w:t xml:space="preserve">Team Bios</w:t>
      </w:r>
    </w:p>
    <w:p>
      <w:pPr>
        <w:pStyle w:val="FirstParagraph"/>
      </w:pPr>
      <w:r>
        <w:rPr>
          <w:bCs/>
          <w:b/>
        </w:rPr>
        <w:t xml:space="preserve">Status: ✅ confirmed directly from the pitch deck’s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Time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slide.</w:t>
      </w:r>
    </w:p>
    <w:bookmarkStart w:id="20" w:name="amgad-salih-ceo-interim-cto"/>
    <w:p>
      <w:pPr>
        <w:pStyle w:val="Heading2"/>
      </w:pPr>
      <w:r>
        <w:t xml:space="preserve">Amgad Salih — CEO, interim CTO</w:t>
      </w:r>
    </w:p>
    <w:p>
      <w:pPr>
        <w:pStyle w:val="FirstParagraph"/>
      </w:pPr>
      <w:r>
        <w:t xml:space="preserve">Engineer. Founded a precision agriculture company in Sudan. Led strategy</w:t>
      </w:r>
      <w:r>
        <w:t xml:space="preserve"> </w:t>
      </w:r>
      <w:r>
        <w:t xml:space="preserve">and GTM at Keeta in Brazil.</w:t>
      </w:r>
    </w:p>
    <w:bookmarkEnd w:id="20"/>
    <w:bookmarkStart w:id="21" w:name="diana-dutra-cco-chief-commercial-officer"/>
    <w:p>
      <w:pPr>
        <w:pStyle w:val="Heading2"/>
      </w:pPr>
      <w:r>
        <w:t xml:space="preserve">Diana Dutra — CCO (Chief Commercial Officer)</w:t>
      </w:r>
    </w:p>
    <w:p>
      <w:pPr>
        <w:pStyle w:val="FirstParagraph"/>
      </w:pPr>
      <w:r>
        <w:t xml:space="preserve">Built markets and partnerships at Coca-Cola, BRF, Rappi, and Hunter</w:t>
      </w:r>
      <w:r>
        <w:t xml:space="preserve"> </w:t>
      </w:r>
      <w:r>
        <w:t xml:space="preserve">Douglas.</w:t>
      </w:r>
    </w:p>
    <w:bookmarkEnd w:id="21"/>
    <w:bookmarkStart w:id="22" w:name="lucas-costa-cdo-chief-data-officer"/>
    <w:p>
      <w:pPr>
        <w:pStyle w:val="Heading2"/>
      </w:pPr>
      <w:r>
        <w:t xml:space="preserve">Lucas Costa — CDO (Chief Data Officer)</w:t>
      </w:r>
    </w:p>
    <w:p>
      <w:pPr>
        <w:pStyle w:val="FirstParagraph"/>
      </w:pPr>
      <w:r>
        <w:t xml:space="preserve">Drone pilot and instructor for 7+ years at Xmobots &amp; DJI. Rural</w:t>
      </w:r>
      <w:r>
        <w:t xml:space="preserve"> </w:t>
      </w:r>
      <w:r>
        <w:t xml:space="preserve">producer.</w:t>
      </w:r>
    </w:p>
    <w:bookmarkEnd w:id="22"/>
    <w:bookmarkStart w:id="23" w:name="X8de7573b587ddab66f7542f11efb929248685ff"/>
    <w:p>
      <w:pPr>
        <w:pStyle w:val="Heading2"/>
      </w:pPr>
      <w:r>
        <w:t xml:space="preserve">Who covers what, until a dedicated CTO joins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 / fundraising / commercial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Amgad, Diana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&amp;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Amgad (interim)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hire once funded — 40% of the raise goes to</w:t>
            </w:r>
            <w:r>
              <w:t xml:space="preserve"> </w:t>
            </w:r>
            <w:r>
              <w:t xml:space="preserve">“</w:t>
            </w:r>
            <w:r>
              <w:t xml:space="preserve">Dados e IA,</w:t>
            </w:r>
            <w:r>
              <w:t xml:space="preserve">”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04-investment-documents/USE_OF_FUNDS.md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02-team/HIRING_PLAN.md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geospatial pipeline, flight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200,000+ hectares overflown combined team experience, Sudan to Mato Grosso (see</w:t>
            </w:r>
            <w:r>
              <w:t xml:space="preserve"> </w:t>
            </w:r>
            <w:r>
              <w:rPr>
                <w:rStyle w:val="VerbatimChar"/>
              </w:rPr>
              <w:t xml:space="preserve">01-company-snapshot/CASE_STUDY.md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/ GTM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Diana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239a18b280b6e96b32517b42ddc55fc7f9c66cd"/>
    <w:p>
      <w:pPr>
        <w:pStyle w:val="Heading2"/>
      </w:pPr>
      <w:r>
        <w:t xml:space="preserve">Advisors /</w:t>
      </w:r>
      <w:r>
        <w:t xml:space="preserve"> </w:t>
      </w:r>
      <w:r>
        <w:t xml:space="preserve">“</w:t>
      </w:r>
      <w:r>
        <w:t xml:space="preserve">who already believes in AgrosTech</w:t>
      </w:r>
      <w:r>
        <w:t xml:space="preserve">”</w:t>
      </w:r>
      <w:r>
        <w:t xml:space="preserve"> </w:t>
      </w:r>
      <w:r>
        <w:t xml:space="preserve">(per the deck — equity terms out of scope for this document set)</w:t>
      </w:r>
    </w:p>
    <w:p>
      <w:pPr>
        <w:pStyle w:val="FirstParagraph"/>
      </w:pPr>
      <w:r>
        <w:t xml:space="preserve">Per founder instruction (2026-09-24), advisor equity/compensation terms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deliberately excluded</w:t>
      </w:r>
      <w:r>
        <w:t xml:space="preserve"> </w:t>
      </w:r>
      <w:r>
        <w:t xml:space="preserve">from this data room — see</w:t>
      </w:r>
      <w:r>
        <w:t xml:space="preserve"> </w:t>
      </w:r>
      <w:r>
        <w:rPr>
          <w:rStyle w:val="VerbatimChar"/>
        </w:rPr>
        <w:t xml:space="preserve">02-team/ADVISOR_NOTE.md</w:t>
      </w:r>
      <w:r>
        <w:t xml:space="preserve"> </w:t>
      </w:r>
      <w:r>
        <w:t xml:space="preserve">for the full list (Gilberto Damasceno, Chaim</w:t>
      </w:r>
      <w:r>
        <w:t xml:space="preserve"> </w:t>
      </w:r>
      <w:r>
        <w:t xml:space="preserve">Finziola, and Michelle Souza Vilela, confirmed on the deck’s team slide).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Team Bios v2.0 | Confidencial | 2026 | Reconciled against the founder’s pitch deck (2026-09-24)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