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corporation-status"/>
    <w:p>
      <w:pPr>
        <w:pStyle w:val="Heading1"/>
      </w:pPr>
      <w:r>
        <w:t xml:space="preserve">Incorporation Status</w:t>
      </w:r>
    </w:p>
    <w:p>
      <w:pPr>
        <w:pStyle w:val="FirstParagraph"/>
      </w:pPr>
      <w:r>
        <w:rPr>
          <w:bCs/>
          <w:b/>
        </w:rPr>
        <w:t xml:space="preserve">Status: 🟡 structure decided by founder (2026-09-24) — not yet formed. This is the single biggest execution item before the SAFE can be signed.</w:t>
      </w:r>
    </w:p>
    <w:bookmarkStart w:id="20" w:name="current-state"/>
    <w:p>
      <w:pPr>
        <w:pStyle w:val="Heading2"/>
      </w:pPr>
      <w:r>
        <w:t xml:space="preserve">Current 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Delaware C-corporation (holding)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Decided, not yet formed.</w:t>
            </w:r>
            <w:r>
              <w:t xml:space="preserve"> </w:t>
            </w:r>
            <w:r>
              <w:t xml:space="preserve">The founder confirmed the target structure: a Delaware holding company that will own and control a Brazilian LTDA.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Brazilian operating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Decided, not yet formed.</w:t>
            </w:r>
            <w:r>
              <w:t xml:space="preserve"> </w:t>
            </w:r>
            <w:r>
              <w:t xml:space="preserve">A new LTDA will be incorporated, owned 100% by the Delaware holding. This 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the CNPJ the founder currently holds personally — that one is a separate, pre-existing registration and will not be the fundraising entity.</w:t>
            </w:r>
          </w:p>
        </w:tc>
      </w:tr>
    </w:tbl>
    <w:bookmarkEnd w:id="20"/>
    <w:bookmarkStart w:id="21" w:name="the-confirmed-structure"/>
    <w:p>
      <w:pPr>
        <w:pStyle w:val="Heading2"/>
      </w:pPr>
      <w:r>
        <w:t xml:space="preserve">The confirmed structure</w:t>
      </w:r>
    </w:p>
    <w:p>
      <w:pPr>
        <w:pStyle w:val="SourceCode"/>
      </w:pPr>
      <w:r>
        <w:rPr>
          <w:rStyle w:val="VerbatimChar"/>
        </w:rPr>
        <w:t xml:space="preserve">        Delaware Holding Co. (C-corp)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100% ownership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AgrosTech Brasil LTDA (new entity)</w:t>
      </w:r>
    </w:p>
    <w:p>
      <w:pPr>
        <w:pStyle w:val="FirstParagraph"/>
      </w:pPr>
      <w:r>
        <w:t xml:space="preserve">This is the standard</w:t>
      </w:r>
      <w:r>
        <w:t xml:space="preserve"> </w:t>
      </w:r>
      <w:r>
        <w:t xml:space="preserve">“</w:t>
      </w:r>
      <w:r>
        <w:t xml:space="preserve">Delaware flip</w:t>
      </w:r>
      <w:r>
        <w:t xml:space="preserve">”</w:t>
      </w:r>
      <w:r>
        <w:t xml:space="preserve"> </w:t>
      </w:r>
      <w:r>
        <w:t xml:space="preserve">structure referenced in the SAFE</w:t>
      </w:r>
      <w:r>
        <w:t xml:space="preserve"> </w:t>
      </w:r>
      <w:r>
        <w:t xml:space="preserve">terms panel (</w:t>
      </w:r>
      <w:r>
        <w:rPr>
          <w:rStyle w:val="VerbatimChar"/>
        </w:rPr>
        <w:t xml:space="preserve">04-investment-documents/SAFE_TERMS.md</w:t>
      </w:r>
      <w:r>
        <w:t xml:space="preserve">) — the SAFE issuer</w:t>
      </w:r>
      <w:r>
        <w:t xml:space="preserve"> </w:t>
      </w:r>
      <w:r>
        <w:t xml:space="preserve">will be the Delaware holding, which in turn owns the Brazilian operating</w:t>
      </w:r>
      <w:r>
        <w:t xml:space="preserve"> </w:t>
      </w:r>
      <w:r>
        <w:t xml:space="preserve">company. This resolves the open structural question flagged in the</w:t>
      </w:r>
      <w:r>
        <w:t xml:space="preserve"> </w:t>
      </w:r>
      <w:r>
        <w:t xml:space="preserve">previous version of this data room.</w:t>
      </w:r>
    </w:p>
    <w:bookmarkEnd w:id="21"/>
    <w:bookmarkStart w:id="22" w:name="Xa8eca91224e81813e419e43548197563cfe9fe4"/>
    <w:p>
      <w:pPr>
        <w:pStyle w:val="Heading2"/>
      </w:pPr>
      <w:r>
        <w:t xml:space="preserve">What’s left to execute (nothing here is done yet)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 the Delaware holding company</w:t>
      </w:r>
      <w:r>
        <w:t xml:space="preserve"> </w:t>
      </w:r>
      <w:r>
        <w:t xml:space="preserve">(C-corp).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 the new Brazilian LTDA</w:t>
      </w:r>
      <w:r>
        <w:t xml:space="preserve"> </w:t>
      </w:r>
      <w:r>
        <w:t xml:space="preserve">(distinct from the founder’s existing</w:t>
      </w:r>
      <w:r>
        <w:t xml:space="preserve"> </w:t>
      </w:r>
      <w:r>
        <w:t xml:space="preserve">personal CNPJ).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Execute the share exchange / capitalization</w:t>
      </w:r>
      <w:r>
        <w:t xml:space="preserve"> </w:t>
      </w:r>
      <w:r>
        <w:t xml:space="preserve">so the Delaware</w:t>
      </w:r>
      <w:r>
        <w:t xml:space="preserve"> </w:t>
      </w:r>
      <w:r>
        <w:t xml:space="preserve">holding owns 100% of the Brazilian LTDA.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Issue founder stock</w:t>
      </w:r>
      <w:r>
        <w:t xml:space="preserve"> </w:t>
      </w:r>
      <w:r>
        <w:t xml:space="preserve">in the Delaware entity, per the cap table</w:t>
      </w:r>
      <w:r>
        <w:t xml:space="preserve"> </w:t>
      </w:r>
      <w:r>
        <w:t xml:space="preserve">split — board consent template in</w:t>
      </w:r>
      <w:r>
        <w:t xml:space="preserve"> </w:t>
      </w:r>
      <w:r>
        <w:rPr>
          <w:rStyle w:val="VerbatimChar"/>
        </w:rPr>
        <w:t xml:space="preserve">BOARD_CONSENTS.md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Only then</w:t>
      </w:r>
      <w:r>
        <w:t xml:space="preserve"> </w:t>
      </w:r>
      <w:r>
        <w:t xml:space="preserve">can the SAFE’s Issuer field be filled in and the</w:t>
      </w:r>
      <w:r>
        <w:t xml:space="preserve"> </w:t>
      </w:r>
      <w:r>
        <w:t xml:space="preserve">instrument signed.</w:t>
      </w:r>
    </w:p>
    <w:bookmarkEnd w:id="22"/>
    <w:bookmarkStart w:id="23" w:name="X4a576b71f6a59cb73cd46d6b574680e9d9d926e"/>
    <w:p>
      <w:pPr>
        <w:pStyle w:val="Heading2"/>
      </w:pPr>
      <w:r>
        <w:t xml:space="preserve">Why this still needs both counsels involved</w:t>
      </w:r>
    </w:p>
    <w:p>
      <w:pPr>
        <w:pStyle w:val="FirstParagraph"/>
      </w:pPr>
      <w:r>
        <w:t xml:space="preserve">Per the SAFE terms panel: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Have a Brazilian lawyer and a US lawyer</w:t>
      </w:r>
      <w:r>
        <w:rPr>
          <w:iCs/>
          <w:i/>
        </w:rPr>
        <w:t xml:space="preserve"> </w:t>
      </w:r>
      <w:r>
        <w:rPr>
          <w:iCs/>
          <w:i/>
        </w:rPr>
        <w:t xml:space="preserve">review the Delaware–Brazil structure, the currency flow (registro no</w:t>
      </w:r>
      <w:r>
        <w:rPr>
          <w:iCs/>
          <w:i/>
        </w:rPr>
        <w:t xml:space="preserve"> </w:t>
      </w:r>
      <w:r>
        <w:rPr>
          <w:iCs/>
          <w:i/>
        </w:rPr>
        <w:t xml:space="preserve">Banco Central), and tax.</w:t>
      </w:r>
      <w:r>
        <w:rPr>
          <w:iCs/>
          <w:i/>
        </w:rPr>
        <w:t xml:space="preserve">”</w:t>
      </w:r>
      <w:r>
        <w:t xml:space="preserve"> </w:t>
      </w:r>
      <w:r>
        <w:t xml:space="preserve">Confirming the structure decision doesn’t</w:t>
      </w:r>
      <w:r>
        <w:t xml:space="preserve"> </w:t>
      </w:r>
      <w:r>
        <w:t xml:space="preserve">remove that step — it makes it concrete and actionable. Specific open</w:t>
      </w:r>
      <w:r>
        <w:t xml:space="preserve"> </w:t>
      </w:r>
      <w:r>
        <w:t xml:space="preserve">items for counsel:</w:t>
      </w:r>
      <w:r>
        <w:t xml:space="preserve"> </w:t>
      </w:r>
      <w:r>
        <w:t xml:space="preserve">- Brazilian Central Bank registration of the foreign capital flow</w:t>
      </w:r>
      <w:r>
        <w:t xml:space="preserve"> </w:t>
      </w:r>
      <w:r>
        <w:t xml:space="preserve">(registro de capital estrangeiro) once the Delaware holding</w:t>
      </w:r>
      <w:r>
        <w:t xml:space="preserve"> </w:t>
      </w:r>
      <w:r>
        <w:t xml:space="preserve">capitalizes the Brazilian LTDA.</w:t>
      </w:r>
      <w:r>
        <w:t xml:space="preserve"> </w:t>
      </w:r>
      <w:r>
        <w:t xml:space="preserve">- Tax treatment on both sides of the flip.</w:t>
      </w:r>
      <w:r>
        <w:t xml:space="preserve"> </w:t>
      </w:r>
      <w:r>
        <w:t xml:space="preserve">- Whether the founder’s existing personal CNPJ needs to be wound down,</w:t>
      </w:r>
      <w:r>
        <w:t xml:space="preserve"> </w:t>
      </w:r>
      <w:r>
        <w:t xml:space="preserve">contributed, or simply left inactive alongside the new structure.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Incorporation Status v2.0 | Confidencial | 2026 | Not legal advice — consult Brazilian and US counsel before executing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2026-09-24T13:17:03Z</dcterms:created>
  <dcterms:modified xsi:type="dcterms:W3CDTF">2026-09-24T13:17:03Z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