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use-of-funds"/>
    <w:p>
      <w:pPr>
        <w:pStyle w:val="Heading1"/>
      </w:pPr>
      <w:r>
        <w:t xml:space="preserve">Use of Funds</w:t>
      </w:r>
    </w:p>
    <w:p>
      <w:pPr>
        <w:pStyle w:val="FirstParagraph"/>
      </w:pPr>
      <w:r>
        <w:rPr>
          <w:bCs/>
          <w:b/>
        </w:rPr>
        <w:t xml:space="preserve">Status: ✅ allocation confirmed directly on the deck’s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 Pedido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slide.</w:t>
      </w:r>
      <w:r>
        <w:t xml:space="preserve"> </w:t>
      </w:r>
      <w:r>
        <w:t xml:space="preserve">A live, formula-linked version is in</w:t>
      </w:r>
      <w:r>
        <w:t xml:space="preserve"> </w:t>
      </w:r>
      <w:r>
        <w:rPr>
          <w:rStyle w:val="VerbatimChar"/>
        </w:rPr>
        <w:t xml:space="preserve">07-financials/FINANCIAL_MODEL.xlsx</w:t>
      </w:r>
      <w:r>
        <w:t xml:space="preserve"> </w:t>
      </w:r>
      <w:r>
        <w:t xml:space="preserve">(Use of Funds tab).</w:t>
      </w:r>
    </w:p>
    <w:bookmarkStart w:id="20" w:name="how-us-600000-is-spent"/>
    <w:p>
      <w:pPr>
        <w:pStyle w:val="Heading2"/>
      </w:pPr>
      <w:r>
        <w:t xml:space="preserve">How US$ 600,000 is spent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raise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(≈R$5.00/US$1)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Dados e IA</w:t>
            </w:r>
            <w:r>
              <w:t xml:space="preserve"> </w:t>
            </w:r>
            <w:r>
              <w:t xml:space="preserve">(Data &amp; AI — the M1/M2/M3 model stack, see</w:t>
            </w:r>
            <w:r>
              <w:t xml:space="preserve"> </w:t>
            </w:r>
            <w:r>
              <w:rPr>
                <w:rStyle w:val="VerbatimChar"/>
              </w:rPr>
              <w:t xml:space="preserve">09-product/TECH_STACK_OVERVIEW.md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Vendas institucionais</w:t>
            </w:r>
            <w:r>
              <w:t xml:space="preserve"> </w:t>
            </w:r>
            <w:r>
              <w:t xml:space="preserve">(Institutional sales — banks, cooperatives, credit desks)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Operações e reserva</w:t>
            </w:r>
            <w:r>
              <w:t xml:space="preserve"> </w:t>
            </w:r>
            <w:r>
              <w:t xml:space="preserve">(Operations &amp; reserve)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Integrações Bacen e segurança</w:t>
            </w:r>
            <w:r>
              <w:t xml:space="preserve"> </w:t>
            </w:r>
            <w:r>
              <w:t xml:space="preserve">(Bacen integrations &amp; security — the CMN 5.267/2025 compliance layer)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3,000,000</w:t>
            </w:r>
          </w:p>
        </w:tc>
      </w:tr>
    </w:tbl>
    <w:bookmarkEnd w:id="20"/>
    <w:bookmarkStart w:id="21" w:name="the-milestone-this-buys"/>
    <w:p>
      <w:pPr>
        <w:pStyle w:val="Heading2"/>
      </w:pPr>
      <w:r>
        <w:t xml:space="preserve">The milestone this buys</w:t>
      </w:r>
    </w:p>
    <w:p>
      <w:pPr>
        <w:pStyle w:val="FirstParagraph"/>
      </w:pPr>
      <w:r>
        <w:t xml:space="preserve">Directly from the deck: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US$ 600 mil para colocar 1,5 milhão de</w:t>
      </w:r>
      <w:r>
        <w:rPr>
          <w:bCs/>
          <w:b/>
        </w:rPr>
        <w:t xml:space="preserve"> </w:t>
      </w:r>
      <w:r>
        <w:rPr>
          <w:bCs/>
          <w:b/>
        </w:rPr>
        <w:t xml:space="preserve">hectares à vista até 2028</w:t>
      </w:r>
      <w:r>
        <w:rPr>
          <w:bCs/>
          <w:b/>
        </w:rPr>
        <w:t xml:space="preserve">”</w:t>
      </w:r>
      <w:r>
        <w:t xml:space="preserve"> </w:t>
      </w:r>
      <w:r>
        <w:t xml:space="preserve">— put 1.5 million hectares</w:t>
      </w:r>
      <w:r>
        <w:t xml:space="preserve"> </w:t>
      </w:r>
      <w:r>
        <w:t xml:space="preserve">“</w:t>
      </w:r>
      <w:r>
        <w:t xml:space="preserve">in sight</w:t>
      </w:r>
      <w:r>
        <w:t xml:space="preserve">”</w:t>
      </w:r>
      <w:r>
        <w:t xml:space="preserve"> </w:t>
      </w:r>
      <w:r>
        <w:t xml:space="preserve">(under active monitoring/pipeline visibility) by 2028.</w:t>
      </w:r>
    </w:p>
    <w:p>
      <w:pPr>
        <w:pStyle w:val="BodyText"/>
      </w:pPr>
      <w:r>
        <w:t xml:space="preserve">This ties to the revenue scenarios in</w:t>
      </w:r>
      <w:r>
        <w:t xml:space="preserve"> </w:t>
      </w:r>
      <w:r>
        <w:rPr>
          <w:rStyle w:val="VerbatimChar"/>
        </w:rPr>
        <w:t xml:space="preserve">07-financials/FINANCIAL_MODEL.xlsx</w:t>
      </w:r>
      <w:r>
        <w:t xml:space="preserve"> </w:t>
      </w:r>
      <w:r>
        <w:t xml:space="preserve">(Scenarios tab), whose base case is</w:t>
      </w:r>
      <w:r>
        <w:t xml:space="preserve"> </w:t>
      </w:r>
      <w:r>
        <w:t xml:space="preserve">explicitly built on</w:t>
      </w:r>
      <w:r>
        <w:t xml:space="preserve"> </w:t>
      </w:r>
      <w:r>
        <w:rPr>
          <w:bCs/>
          <w:b/>
        </w:rPr>
        <w:t xml:space="preserve">US$0.80/ha and ~8 cooperativas by 2028</w:t>
      </w:r>
      <w:r>
        <w:t xml:space="preserve"> </w:t>
      </w:r>
      <w:r>
        <w:t xml:space="preserve">— the</w:t>
      </w:r>
      <w:r>
        <w:t xml:space="preserve"> </w:t>
      </w:r>
      <w:r>
        <w:t xml:space="preserve">1.5M ha figure is the input; ~8 cooperative-scale relationships (each</w:t>
      </w:r>
      <w:r>
        <w:t xml:space="preserve"> </w:t>
      </w:r>
      <w:r>
        <w:t xml:space="preserve">plausibly covering 100–200k+ ha, consistent with Coplacana/Thales-shaped</w:t>
      </w:r>
      <w:r>
        <w:t xml:space="preserve"> </w:t>
      </w:r>
      <w:r>
        <w:t xml:space="preserve">accounts) is how that hectare count gets reached.</w:t>
      </w:r>
    </w:p>
    <w:bookmarkEnd w:id="21"/>
    <w:bookmarkStart w:id="22" w:name="Xb57def0e5549a0e1b9eff9084280dfd9a19f9cd"/>
    <w:p>
      <w:pPr>
        <w:pStyle w:val="Heading2"/>
      </w:pPr>
      <w:r>
        <w:t xml:space="preserve">Why this allocation makes sense given the product</w:t>
      </w:r>
    </w:p>
    <w:p>
      <w:pPr>
        <w:pStyle w:val="FirstParagraph"/>
      </w:pPr>
      <w:r>
        <w:t xml:space="preserve">40% into</w:t>
      </w:r>
      <w:r>
        <w:t xml:space="preserve"> </w:t>
      </w:r>
      <w:r>
        <w:t xml:space="preserve">“</w:t>
      </w:r>
      <w:r>
        <w:t xml:space="preserve">Dados e IA</w:t>
      </w:r>
      <w:r>
        <w:t xml:space="preserve">”</w:t>
      </w:r>
      <w:r>
        <w:t xml:space="preserve"> </w:t>
      </w:r>
      <w:r>
        <w:t xml:space="preserve">is the largest single bucket — consistent with</w:t>
      </w:r>
      <w:r>
        <w:t xml:space="preserve"> </w:t>
      </w:r>
      <w:r>
        <w:t xml:space="preserve">this being a data/model company first: the three proprietary models</w:t>
      </w:r>
      <w:r>
        <w:t xml:space="preserve"> </w:t>
      </w:r>
      <w:r>
        <w:t xml:space="preserve">(M1 Filtro de Área Útil, M2 Radar SAR Anti-Fuga, M3 Protocolo Halo — see</w:t>
      </w:r>
      <w:r>
        <w:t xml:space="preserve"> </w:t>
      </w:r>
      <w:r>
        <w:rPr>
          <w:rStyle w:val="VerbatimChar"/>
        </w:rPr>
        <w:t xml:space="preserve">09-product/TECH_STACK_OVERVIEW.md</w:t>
      </w:r>
      <w:r>
        <w:t xml:space="preserve">) are the actual moat, not the sales</w:t>
      </w:r>
      <w:r>
        <w:t xml:space="preserve"> </w:t>
      </w:r>
      <w:r>
        <w:t xml:space="preserve">motion. The 10%</w:t>
      </w:r>
      <w:r>
        <w:t xml:space="preserve"> </w:t>
      </w:r>
      <w:r>
        <w:t xml:space="preserve">“</w:t>
      </w:r>
      <w:r>
        <w:t xml:space="preserve">Integrações Bacen e segurança</w:t>
      </w:r>
      <w:r>
        <w:t xml:space="preserve">”</w:t>
      </w:r>
      <w:r>
        <w:t xml:space="preserve"> </w:t>
      </w:r>
      <w:r>
        <w:t xml:space="preserve">line is small but</w:t>
      </w:r>
      <w:r>
        <w:t xml:space="preserve"> </w:t>
      </w:r>
      <w:r>
        <w:t xml:space="preserve">strategically important: it’s what turns the product from</w:t>
      </w:r>
      <w:r>
        <w:t xml:space="preserve"> </w:t>
      </w:r>
      <w:r>
        <w:t xml:space="preserve">“</w:t>
      </w:r>
      <w:r>
        <w:t xml:space="preserve">useful data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rPr>
          <w:bCs/>
          <w:b/>
        </w:rPr>
        <w:t xml:space="preserve">compliance infrastructure directly serving Resolução CMN</w:t>
      </w:r>
      <w:r>
        <w:rPr>
          <w:bCs/>
          <w:b/>
        </w:rPr>
        <w:t xml:space="preserve"> </w:t>
      </w:r>
      <w:r>
        <w:rPr>
          <w:bCs/>
          <w:b/>
        </w:rPr>
        <w:t xml:space="preserve">5.267/2025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06-customers/MARKET_RESEARCH.md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Use of Funds v2.0 | Confidencial | 2026 | Reconciled against the founder’s pitch deck (2026-09-24)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2026-09-24T13:17:03Z</dcterms:created>
  <dcterms:modified xsi:type="dcterms:W3CDTF">2026-09-24T13:17:03Z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