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x-compliance"/>
    <w:p>
      <w:pPr>
        <w:pStyle w:val="Heading1"/>
      </w:pPr>
      <w:r>
        <w:t xml:space="preserve">Tax &amp; Compliance</w:t>
      </w:r>
    </w:p>
    <w:p>
      <w:pPr>
        <w:pStyle w:val="FirstParagraph"/>
      </w:pPr>
      <w:r>
        <w:rPr>
          <w:bCs/>
          <w:b/>
        </w:rPr>
        <w:t xml:space="preserve">Status: 🔴 [CONFIRM] — depends on the entity-structure decision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03-company-documents/INCORPORATION_STATUS.md</w:t>
      </w:r>
      <w:r>
        <w:rPr>
          <w:bCs/>
          <w:b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Brazilian tax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currently under the founder’s personal CNPJ; regime (Simples Nacional / Lucro Presumido / other) changes once a dedicated CNPJ is set up]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filings up 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Certidões negativas (CNDs)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tax exposure (if Delaware entity is formed)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depends on whether the Delaware-flip path is taken]</w:t>
            </w:r>
          </w:p>
        </w:tc>
      </w:tr>
    </w:tbl>
    <w:p>
      <w:pPr>
        <w:pStyle w:val="BodyText"/>
      </w:pPr>
      <w:r>
        <w:t xml:space="preserve">This deliberately can’t be filled in with confidence until</w:t>
      </w:r>
      <w:r>
        <w:t xml:space="preserve"> </w:t>
      </w:r>
      <w:r>
        <w:rPr>
          <w:rStyle w:val="VerbatimChar"/>
        </w:rPr>
        <w:t xml:space="preserve">INCORPORATION_STATUS.md</w:t>
      </w:r>
      <w:r>
        <w:t xml:space="preserve"> </w:t>
      </w:r>
      <w:r>
        <w:t xml:space="preserve">resolves — tax regime and filing obligations</w:t>
      </w:r>
      <w:r>
        <w:t xml:space="preserve"> </w:t>
      </w:r>
      <w:r>
        <w:t xml:space="preserve">follow the entity, and the entity isn’t settled yet.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Tax &amp; Compliance v1.0 | Confidencial | 2026 | Not tax advice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