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o-to-market-strategy"/>
    <w:p>
      <w:pPr>
        <w:pStyle w:val="Heading1"/>
      </w:pPr>
      <w:r>
        <w:t xml:space="preserve">Go-to-Market Strategy</w:t>
      </w:r>
    </w:p>
    <w:p>
      <w:pPr>
        <w:pStyle w:val="FirstParagraph"/>
      </w:pPr>
      <w:r>
        <w:rPr>
          <w:bCs/>
          <w:b/>
        </w:rPr>
        <w:t xml:space="preserve">Status: 🟡 channel logic is grounded in actual pipeline; prioritization order is [CONFIRM] with founder.</w:t>
      </w:r>
    </w:p>
    <w:bookmarkStart w:id="20" w:name="channels"/>
    <w:p>
      <w:pPr>
        <w:pStyle w:val="Heading2"/>
      </w:pPr>
      <w:r>
        <w:t xml:space="preserve">Channels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to consultants/agronomists with large managed footprints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Thales — independent cacao consultant covering ~30,000 ha in Bahia — is the single largest pipeline opportunity, sourced this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🥇 Highest-leverage: one relationship unlocks thousands of hectares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to cooperatives/associations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Coplacana (a cooperative) is in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🥇 Same logic — one institutional relationship, many member-producers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to mid-size farms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Fabio (CAR/SICAR survey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🥈 Works, but one relationship = one property; less efficient per sales hour than the channel/consultant motion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institutions (banks, credit desks)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active — but this is the natural inbound channel once the Passaporte de Crédito Rural is validated as accepted credit evidence (see</w:t>
            </w:r>
            <w:r>
              <w:t xml:space="preserve"> </w:t>
            </w:r>
            <w:r>
              <w:rPr>
                <w:rStyle w:val="VerbatimChar"/>
              </w:rPr>
              <w:t xml:space="preserve">09-product/PRODUCT_OVERVIEW.md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🔜 Strategic priority for post-raise: a bank that accepts the Passaporte becomes a demand-generation channel, not just a customer</w:t>
            </w:r>
          </w:p>
        </w:tc>
      </w:tr>
    </w:tbl>
    <w:bookmarkEnd w:id="20"/>
    <w:bookmarkStart w:id="21" w:name="which-comes-first-and-why"/>
    <w:p>
      <w:pPr>
        <w:pStyle w:val="Heading2"/>
      </w:pPr>
      <w:r>
        <w:t xml:space="preserve">Which comes first, and why</w:t>
      </w:r>
    </w:p>
    <w:p>
      <w:pPr>
        <w:pStyle w:val="FirstParagraph"/>
      </w:pPr>
      <w:r>
        <w:t xml:space="preserve">Given the confirmed pipeline, the consultant/cooperative channel</w:t>
      </w:r>
      <w:r>
        <w:t xml:space="preserve"> </w:t>
      </w:r>
      <w:r>
        <w:t xml:space="preserve">(Thales, Coplacana) is already outperforming direct-to-farm in hectares-</w:t>
      </w:r>
      <w:r>
        <w:t xml:space="preserve"> </w:t>
      </w:r>
      <w:r>
        <w:t xml:space="preserve">per-relationship. The GTM strategy should lean into this:</w:t>
      </w:r>
      <w:r>
        <w:t xml:space="preserve"> </w:t>
      </w:r>
      <w:r>
        <w:rPr>
          <w:bCs/>
          <w:b/>
        </w:rPr>
        <w:t xml:space="preserve">find more</w:t>
      </w:r>
      <w:r>
        <w:rPr>
          <w:bCs/>
          <w:b/>
        </w:rPr>
        <w:t xml:space="preserve"> </w:t>
      </w:r>
      <w:r>
        <w:rPr>
          <w:bCs/>
          <w:b/>
        </w:rPr>
        <w:t xml:space="preserve">Thales-shaped relationships</w:t>
      </w:r>
      <w:r>
        <w:t xml:space="preserve"> </w:t>
      </w:r>
      <w:r>
        <w:t xml:space="preserve">— independent agronomic consultants and</w:t>
      </w:r>
      <w:r>
        <w:t xml:space="preserve"> </w:t>
      </w:r>
      <w:r>
        <w:t xml:space="preserve">cooperatives who already have standing relationships across thousands of</w:t>
      </w:r>
      <w:r>
        <w:t xml:space="preserve"> </w:t>
      </w:r>
      <w:r>
        <w:t xml:space="preserve">hectares — rather than building a farm-by-farm direct sales motion from</w:t>
      </w:r>
      <w:r>
        <w:t xml:space="preserve"> </w:t>
      </w:r>
      <w:r>
        <w:t xml:space="preserve">scratch.</w:t>
      </w:r>
    </w:p>
    <w:bookmarkEnd w:id="21"/>
    <w:bookmarkStart w:id="22" w:name="X09d12e622c1603c21d34738073ff2a319706b16"/>
    <w:p>
      <w:pPr>
        <w:pStyle w:val="Heading2"/>
      </w:pPr>
      <w:r>
        <w:t xml:space="preserve">Urgency lever — the regulatory driver is now the strongest one</w:t>
      </w:r>
    </w:p>
    <w:p>
      <w:pPr>
        <w:pStyle w:val="FirstParagraph"/>
      </w:pPr>
      <w:r>
        <w:t xml:space="preserve">As of March 2026, Banco Central’s</w:t>
      </w:r>
      <w:r>
        <w:t xml:space="preserve"> </w:t>
      </w:r>
      <w:r>
        <w:rPr>
          <w:bCs/>
          <w:b/>
        </w:rPr>
        <w:t xml:space="preserve">Resolução CMN nº 5.267/2025</w:t>
      </w:r>
      <w:r>
        <w:t xml:space="preserve"> </w:t>
      </w:r>
      <w:r>
        <w:t xml:space="preserve">requires rural-credit compliance to be proven by remote sensing, and</w:t>
      </w:r>
      <w:r>
        <w:t xml:space="preserve"> </w:t>
      </w:r>
      <w:r>
        <w:t xml:space="preserve">makes the liability non-delegable — see</w:t>
      </w:r>
      <w:r>
        <w:t xml:space="preserve"> </w:t>
      </w:r>
      <w:r>
        <w:rPr>
          <w:rStyle w:val="VerbatimChar"/>
        </w:rPr>
        <w:t xml:space="preserve">06-customers/MARKET_RESEARCH.md</w:t>
      </w:r>
      <w:r>
        <w:t xml:space="preserve"> </w:t>
      </w:r>
      <w:r>
        <w:t xml:space="preserve">for the full framing. This changes the sales conversation with banks and</w:t>
      </w:r>
      <w:r>
        <w:t xml:space="preserve"> </w:t>
      </w:r>
      <w:r>
        <w:t xml:space="preserve">credit desks from</w:t>
      </w:r>
      <w:r>
        <w:t xml:space="preserve"> </w:t>
      </w:r>
      <w:r>
        <w:t xml:space="preserve">“</w:t>
      </w:r>
      <w:r>
        <w:t xml:space="preserve">here’s a nice-to-have data product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you now have</w:t>
      </w:r>
      <w:r>
        <w:t xml:space="preserve"> </w:t>
      </w:r>
      <w:r>
        <w:t xml:space="preserve">a standing legal obligation and need a vendor who can produce an</w:t>
      </w:r>
      <w:r>
        <w:t xml:space="preserve"> </w:t>
      </w:r>
      <w:r>
        <w:t xml:space="preserve">auditable, ICP-Brasil-signed dossier.</w:t>
      </w:r>
      <w:r>
        <w:t xml:space="preserve">”</w:t>
      </w:r>
      <w:r>
        <w:t xml:space="preserve"> </w:t>
      </w:r>
      <w:r>
        <w:t xml:space="preserve">Producer-side urgency is still</w:t>
      </w:r>
      <w:r>
        <w:t xml:space="preserve"> </w:t>
      </w:r>
      <w:r>
        <w:t xml:space="preserve">tied to credit cycles (Plano Safra financing windows) and carbon/ESG</w:t>
      </w:r>
      <w:r>
        <w:t xml:space="preserve"> </w:t>
      </w:r>
      <w:r>
        <w:t xml:space="preserve">reporting deadlines — but the institutional-buyer urgency (banks,</w:t>
      </w:r>
      <w:r>
        <w:t xml:space="preserve"> </w:t>
      </w:r>
      <w:r>
        <w:t xml:space="preserve">cooperatives, credit desks) now has a hard regulatory deadline behind</w:t>
      </w:r>
      <w:r>
        <w:t xml:space="preserve"> </w:t>
      </w:r>
      <w:r>
        <w:t xml:space="preserve">it, which is the stronger lever for the</w:t>
      </w:r>
      <w:r>
        <w:t xml:space="preserve"> </w:t>
      </w:r>
      <w:r>
        <w:t xml:space="preserve">“</w:t>
      </w:r>
      <w:r>
        <w:t xml:space="preserve">Vendas institucionais</w:t>
      </w:r>
      <w:r>
        <w:t xml:space="preserve">”</w:t>
      </w:r>
      <w:r>
        <w:t xml:space="preserve"> </w:t>
      </w:r>
      <w:r>
        <w:t xml:space="preserve">GTM</w:t>
      </w:r>
      <w:r>
        <w:t xml:space="preserve"> </w:t>
      </w:r>
      <w:r>
        <w:t xml:space="preserve">motion this round explicitly funds (30% of the raise — see</w:t>
      </w:r>
      <w:r>
        <w:t xml:space="preserve"> </w:t>
      </w:r>
      <w:r>
        <w:rPr>
          <w:rStyle w:val="VerbatimChar"/>
        </w:rPr>
        <w:t xml:space="preserve">04-investment-documents/USE_OF_FUNDS.md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GTM Strategy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