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emo-video-brief"/>
    <w:p>
      <w:pPr>
        <w:pStyle w:val="Heading1"/>
      </w:pPr>
      <w:r>
        <w:t xml:space="preserve">Demo Video — Brief</w:t>
      </w:r>
    </w:p>
    <w:p>
      <w:pPr>
        <w:pStyle w:val="FirstParagraph"/>
      </w:pPr>
      <w:r>
        <w:rPr>
          <w:bCs/>
          <w:b/>
        </w:rPr>
        <w:t xml:space="preserve">Status: 🔴 not yet recorded — this is a production brief, not the video itself.</w:t>
      </w:r>
    </w:p>
    <w:p>
      <w:pPr>
        <w:pStyle w:val="BodyText"/>
      </w:pPr>
      <w:r>
        <w:t xml:space="preserve">Per the checklist: two minutes,</w:t>
      </w:r>
      <w:r>
        <w:t xml:space="preserve"> </w:t>
      </w:r>
      <w:r>
        <w:t xml:space="preserve">“</w:t>
      </w:r>
      <w:r>
        <w:t xml:space="preserve">a CAR number goes in, NDVI maps and</w:t>
      </w:r>
      <w:r>
        <w:t xml:space="preserve"> </w:t>
      </w:r>
      <w:r>
        <w:t xml:space="preserve">credit evidence come out.</w:t>
      </w:r>
      <w:r>
        <w:t xml:space="preserve">”</w:t>
      </w:r>
    </w:p>
    <w:bookmarkStart w:id="20" w:name="Xd45125a05c041f2a606f64cc75729215aa65770"/>
    <w:p>
      <w:pPr>
        <w:pStyle w:val="Heading2"/>
      </w:pPr>
      <w:r>
        <w:t xml:space="preserve">Suggested shot list (maps to what the code actually does)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0:00–0:15</w:t>
      </w:r>
      <w:r>
        <w:t xml:space="preserve"> </w:t>
      </w:r>
      <w:r>
        <w:t xml:space="preserve">— Open the onboarding wizard, type/paste a real CAR</w:t>
      </w:r>
      <w:r>
        <w:t xml:space="preserve"> </w:t>
      </w:r>
      <w:r>
        <w:t xml:space="preserve">number. (</w:t>
      </w:r>
      <w:r>
        <w:rPr>
          <w:rStyle w:val="VerbatimChar"/>
        </w:rPr>
        <w:t xml:space="preserve">saas/src/app/dashboard/onboard/page.tsx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0:15–0:45</w:t>
      </w:r>
      <w:r>
        <w:t xml:space="preserve"> </w:t>
      </w:r>
      <w:r>
        <w:t xml:space="preserve">— Show the enrichment pipeline running: SICAR → SIGEF/</w:t>
      </w:r>
      <w:r>
        <w:t xml:space="preserve"> </w:t>
      </w:r>
      <w:r>
        <w:t xml:space="preserve">INCRA → IBGE/CPRM steps resolving live on screen (</w:t>
      </w:r>
      <w:r>
        <w:rPr>
          <w:rStyle w:val="VerbatimChar"/>
        </w:rPr>
        <w:t xml:space="preserve">RadarScanner.tsx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0:45–1:15</w:t>
      </w:r>
      <w:r>
        <w:t xml:space="preserve"> </w:t>
      </w:r>
      <w:r>
        <w:t xml:space="preserve">— Land on the ScoreCard: ESG score, credit-risk level,</w:t>
      </w:r>
      <w:r>
        <w:t xml:space="preserve"> </w:t>
      </w:r>
      <w:r>
        <w:t xml:space="preserve">embargo status, and the</w:t>
      </w:r>
      <w:r>
        <w:t xml:space="preserve"> </w:t>
      </w:r>
      <w:r>
        <w:t xml:space="preserve">“</w:t>
      </w:r>
      <w:r>
        <w:t xml:space="preserve">Elegível para Passaporte de Crédito Rural</w:t>
      </w:r>
      <w:r>
        <w:t xml:space="preserve">”</w:t>
      </w:r>
      <w:r>
        <w:t xml:space="preserve"> </w:t>
      </w:r>
      <w:r>
        <w:t xml:space="preserve">flag lighting up green. (</w:t>
      </w:r>
      <w:r>
        <w:rPr>
          <w:rStyle w:val="VerbatimChar"/>
        </w:rPr>
        <w:t xml:space="preserve">ScoreCard.tsx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1:15–1:45</w:t>
      </w:r>
      <w:r>
        <w:t xml:space="preserve"> </w:t>
      </w:r>
      <w:r>
        <w:t xml:space="preserve">— Switch to the map view (2D NDVI/boundary overlay,</w:t>
      </w:r>
      <w:r>
        <w:t xml:space="preserve"> </w:t>
      </w:r>
      <w:r>
        <w:t xml:space="preserve">then the 3D digital-twin terrain view).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1:45–2:00</w:t>
      </w:r>
      <w:r>
        <w:t xml:space="preserve"> </w:t>
      </w:r>
      <w:r>
        <w:t xml:space="preserve">— Close on the one-line pitch:</w:t>
      </w:r>
      <w:r>
        <w:t xml:space="preserve"> </w:t>
      </w:r>
      <w:r>
        <w:t xml:space="preserve">“</w:t>
      </w:r>
      <w:r>
        <w:t xml:space="preserve">CAR number in, bankable</w:t>
      </w:r>
      <w:r>
        <w:t xml:space="preserve"> </w:t>
      </w:r>
      <w:r>
        <w:t xml:space="preserve">evidence out.</w:t>
      </w:r>
      <w:r>
        <w:t xml:space="preserve">”</w:t>
      </w:r>
    </w:p>
    <w:bookmarkEnd w:id="20"/>
    <w:bookmarkStart w:id="21" w:name="before-recording"/>
    <w:p>
      <w:pPr>
        <w:pStyle w:val="Heading2"/>
      </w:pPr>
      <w:r>
        <w:t xml:space="preserve">Before recording</w:t>
      </w:r>
    </w:p>
    <w:p>
      <w:pPr>
        <w:pStyle w:val="FirstParagraph"/>
      </w:pPr>
      <w:r>
        <w:t xml:space="preserve">Use a</w:t>
      </w:r>
      <w:r>
        <w:t xml:space="preserve"> </w:t>
      </w:r>
      <w:r>
        <w:rPr>
          <w:bCs/>
          <w:b/>
        </w:rPr>
        <w:t xml:space="preserve">real property with the owner’s permission</w:t>
      </w:r>
      <w:r>
        <w:t xml:space="preserve"> </w:t>
      </w:r>
      <w:r>
        <w:t xml:space="preserve">(e.g., Fabio’s — the</w:t>
      </w:r>
      <w:r>
        <w:t xml:space="preserve"> </w:t>
      </w:r>
      <w:r>
        <w:t xml:space="preserve">CAR/SICAR georeferencing survey client) rather than synthetic data, so</w:t>
      </w:r>
      <w:r>
        <w:t xml:space="preserve"> </w:t>
      </w:r>
      <w:r>
        <w:t xml:space="preserve">the demo doubles as proof, not just a UI walkthrough. [CONFIRM</w:t>
      </w:r>
      <w:r>
        <w:t xml:space="preserve"> </w:t>
      </w:r>
      <w:r>
        <w:t xml:space="preserve">availability/permission with the founder.]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Demo Video Brief v1.0 | Confidencial | 2026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2026-09-24T13:17:04Z</dcterms:created>
  <dcterms:modified xsi:type="dcterms:W3CDTF">2026-09-24T13:17:04Z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