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tech-stack-overview"/>
    <w:p>
      <w:pPr>
        <w:pStyle w:val="Heading1"/>
      </w:pPr>
      <w:r>
        <w:t xml:space="preserve">Tech Stack Overview</w:t>
      </w:r>
    </w:p>
    <w:p>
      <w:pPr>
        <w:pStyle w:val="FirstParagraph"/>
      </w:pPr>
      <w:r>
        <w:rPr>
          <w:bCs/>
          <w:b/>
        </w:rPr>
        <w:t xml:space="preserve">Status: ✅ application layer pulled directly from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saas/package.json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saas/supabase/schema.sql</w:t>
      </w:r>
      <w:r>
        <w:rPr>
          <w:bCs/>
          <w:b/>
        </w:rPr>
        <w:t xml:space="preserve">; the three proprietary models (M1/M2/M3) are</w:t>
      </w:r>
      <w:r>
        <w:rPr>
          <w:bCs/>
          <w:b/>
        </w:rPr>
        <w:t xml:space="preserve"> </w:t>
      </w:r>
      <w:r>
        <w:rPr>
          <w:bCs/>
          <w:b/>
        </w:rPr>
        <w:t xml:space="preserve">confirmed by the pitch deck’s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Como Funciona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slide.</w:t>
      </w:r>
    </w:p>
    <w:bookmarkStart w:id="20" w:name="X527096c03169f9a9cda8bbc20d556dc6e011954"/>
    <w:p>
      <w:pPr>
        <w:pStyle w:val="Heading2"/>
      </w:pPr>
      <w:r>
        <w:t xml:space="preserve">The three proprietary models (per the deck)</w:t>
      </w:r>
    </w:p>
    <w:p>
      <w:pPr>
        <w:pStyle w:val="FirstParagraph"/>
      </w:pPr>
      <w:r>
        <w:t xml:space="preserve">This is the actual moat, per the deck’s own framing — the 40% of the</w:t>
      </w:r>
      <w:r>
        <w:t xml:space="preserve"> </w:t>
      </w:r>
      <w:r>
        <w:t xml:space="preserve">raise going to</w:t>
      </w:r>
      <w:r>
        <w:t xml:space="preserve"> </w:t>
      </w:r>
      <w:r>
        <w:t xml:space="preserve">“</w:t>
      </w:r>
      <w:r>
        <w:t xml:space="preserve">Dados e IA</w:t>
      </w:r>
      <w:r>
        <w:t xml:space="preserve">”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04-investment-documents/USE_OF_FUNDS.md</w:t>
      </w:r>
      <w:r>
        <w:t xml:space="preserve">)</w:t>
      </w:r>
      <w:r>
        <w:t xml:space="preserve"> </w:t>
      </w:r>
      <w:r>
        <w:t xml:space="preserve">is building these three: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 — Filtro de Área Útil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Mede o que dá para plantar.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Strips Reserva Legal, APP, and slopes out of the credit limit calculation — the</w:t>
            </w:r>
            <w:r>
              <w:t xml:space="preserve"> </w:t>
            </w:r>
            <w:r>
              <w:t xml:space="preserve">“</w:t>
            </w:r>
            <w:r>
              <w:t xml:space="preserve">área útil líquida</w:t>
            </w:r>
            <w:r>
              <w:t xml:space="preserve">”</w:t>
            </w:r>
            <w:r>
              <w:t xml:space="preserve"> </w:t>
            </w:r>
            <w:r>
              <w:t xml:space="preserve">that actually backs a loan, not the gross registered area.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M2 — Radar SAR Anti-Fuga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Enxerga através das nuvens.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Orbital SAR (Synthetic Aperture Radar) microwave sensing tracks the crop in any weather, flagging before grain physically disappears from the property (</w:t>
            </w:r>
            <w:r>
              <w:t xml:space="preserve">“</w:t>
            </w:r>
            <w:r>
              <w:t xml:space="preserve">fuga de grãos</w:t>
            </w:r>
            <w:r>
              <w:t xml:space="preserve">”</w:t>
            </w:r>
            <w:r>
              <w:t xml:space="preserve"> </w:t>
            </w:r>
            <w:r>
              <w:t xml:space="preserve">— one of the four fraud vectors in</w:t>
            </w:r>
            <w:r>
              <w:t xml:space="preserve"> </w:t>
            </w:r>
            <w:r>
              <w:rPr>
                <w:rStyle w:val="VerbatimChar"/>
              </w:rPr>
              <w:t xml:space="preserve">06-customers/MARKET_RESEARCH.md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M3 — Protocolo Halo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Percebe a carga que não bate.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5km ring cross-references the property’s biology/production capacity against outbound cargo movements, catching the mismatch that indicates ESG laundering (deforested land passed off as</w:t>
            </w:r>
            <w:r>
              <w:t xml:space="preserve"> </w:t>
            </w:r>
            <w:r>
              <w:t xml:space="preserve">“</w:t>
            </w:r>
            <w:r>
              <w:t xml:space="preserve">clean</w:t>
            </w:r>
            <w:r>
              <w:t xml:space="preserve">”</w:t>
            </w:r>
            <w:r>
              <w:t xml:space="preserve"> </w:t>
            </w:r>
            <w:r>
              <w:t xml:space="preserve">via CAR).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this matters for IP protection:</w:t>
      </w:r>
      <w:r>
        <w:t xml:space="preserve"> </w:t>
      </w:r>
      <w:r>
        <w:t xml:space="preserve">these three named, proprietary</w:t>
      </w:r>
      <w:r>
        <w:t xml:space="preserve"> </w:t>
      </w:r>
      <w:r>
        <w:t xml:space="preserve">methods are the company’s core technical asset. See</w:t>
      </w:r>
      <w:r>
        <w:t xml:space="preserve"> </w:t>
      </w:r>
      <w:r>
        <w:rPr>
          <w:rStyle w:val="VerbatimChar"/>
        </w:rPr>
        <w:t xml:space="preserve">05-legal/IP_ASSIGNMENT.md</w:t>
      </w:r>
      <w:r>
        <w:t xml:space="preserve"> </w:t>
      </w:r>
      <w:r>
        <w:t xml:space="preserve">— they should be the first priority for</w:t>
      </w:r>
      <w:r>
        <w:t xml:space="preserve"> </w:t>
      </w:r>
      <w:r>
        <w:t xml:space="preserve">formal IP assignment documentation, not an afterthought.</w:t>
      </w:r>
    </w:p>
    <w:bookmarkEnd w:id="20"/>
    <w:bookmarkStart w:id="21" w:name="X0181cd5b62140f8f0bf945f37e2e5c9ef37c3a2"/>
    <w:p>
      <w:pPr>
        <w:pStyle w:val="Heading2"/>
      </w:pPr>
      <w:r>
        <w:t xml:space="preserve">Application layer (from</w:t>
      </w:r>
      <w:r>
        <w:t xml:space="preserve"> </w:t>
      </w:r>
      <w:r>
        <w:rPr>
          <w:rStyle w:val="VerbatimChar"/>
        </w:rPr>
        <w:t xml:space="preserve">saas/package.json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saas/supabase/schema.sql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Framework:</w:t>
      </w:r>
      <w:r>
        <w:t xml:space="preserve"> </w:t>
      </w:r>
      <w:r>
        <w:t xml:space="preserve">Next.js 15 (App Router), React 19, TypeScript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Styling:</w:t>
      </w:r>
      <w:r>
        <w:t xml:space="preserve"> </w:t>
      </w:r>
      <w:r>
        <w:t xml:space="preserve">Tailwind CSS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Mapping/geospatial:</w:t>
      </w:r>
      <w:r>
        <w:t xml:space="preserve"> </w:t>
      </w:r>
      <w:r>
        <w:t xml:space="preserve">MapLibre GL, Deck.gl (2D), Cesium (3D digital</w:t>
      </w:r>
      <w:r>
        <w:t xml:space="preserve"> </w:t>
      </w:r>
      <w:r>
        <w:t xml:space="preserve">twin),</w:t>
      </w:r>
      <w:r>
        <w:t xml:space="preserve"> </w:t>
      </w:r>
      <w:r>
        <w:rPr>
          <w:rStyle w:val="VerbatimChar"/>
        </w:rPr>
        <w:t xml:space="preserve">@tmcw/togeojson</w:t>
      </w:r>
      <w:r>
        <w:t xml:space="preserve"> </w:t>
      </w:r>
      <w:r>
        <w:t xml:space="preserve">(KML parsing)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Backend/data:</w:t>
      </w:r>
      <w:r>
        <w:t xml:space="preserve"> </w:t>
      </w:r>
      <w:r>
        <w:t xml:space="preserve">Supabase (Postgres + PostGIS), with</w:t>
      </w:r>
      <w:r>
        <w:t xml:space="preserve"> </w:t>
      </w:r>
      <w:r>
        <w:rPr>
          <w:rStyle w:val="VerbatimChar"/>
        </w:rPr>
        <w:t xml:space="preserve">@supabase/ssr</w:t>
      </w:r>
      <w:r>
        <w:t xml:space="preserve"> </w:t>
      </w:r>
      <w:r>
        <w:t xml:space="preserve">for auth</w:t>
      </w:r>
    </w:p>
    <w:bookmarkEnd w:id="21"/>
    <w:bookmarkStart w:id="22" w:name="Xa3ab84c15a946ebe9796003cc3028cb4de16698"/>
    <w:p>
      <w:pPr>
        <w:pStyle w:val="Heading2"/>
      </w:pPr>
      <w:r>
        <w:t xml:space="preserve">Data sources (per</w:t>
      </w:r>
      <w:r>
        <w:t xml:space="preserve"> </w:t>
      </w:r>
      <w:r>
        <w:rPr>
          <w:rStyle w:val="VerbatimChar"/>
        </w:rPr>
        <w:t xml:space="preserve">saas/src/app/api/land/enrich/route.ts</w:t>
      </w:r>
      <w:r>
        <w:t xml:space="preserve">, cross-referenced against M1–M3)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SICAR (Cadastro Ambiental Rural)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 boundary, APP/Reserva Legal demarcation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 (Filtro de Área Útil)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SIGEF / INCRA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Certified georeferencing, public-land overlap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IBGE / CPRM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Biome and hydrology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Supporting context for all three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Orbital 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All-weather crop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 (Radar SAR Anti-Fuga)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Cargo/logistics cross-reference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Production-vs-outbound mismatch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 (Protocolo Halo)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Drone-captured imagery/NDVI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Centimeter-accurate boundary, vegetation index, anomaly-triggered flights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Ground-truth layer under all three;</w:t>
            </w:r>
            <w:r>
              <w:t xml:space="preserve"> </w:t>
            </w:r>
            <w:r>
              <w:t xml:space="preserve">“</w:t>
            </w:r>
            <w:r>
              <w:t xml:space="preserve">drone só quando há anomalia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[CONFIRM — which of M1/M2/M3 are live in the production</w:t>
      </w:r>
      <w:r>
        <w:t xml:space="preserve"> </w:t>
      </w:r>
      <w:r>
        <w:rPr>
          <w:rStyle w:val="VerbatimChar"/>
        </w:rPr>
        <w:t xml:space="preserve">saas/</w:t>
      </w:r>
      <w:r>
        <w:t xml:space="preserve"> </w:t>
      </w:r>
      <w:r>
        <w:t xml:space="preserve">app</w:t>
      </w:r>
      <w:r>
        <w:t xml:space="preserve"> </w:t>
      </w:r>
      <w:r>
        <w:t xml:space="preserve">today versus still in development; the current</w:t>
      </w:r>
      <w:r>
        <w:t xml:space="preserve"> </w:t>
      </w:r>
      <w:r>
        <w:rPr>
          <w:rStyle w:val="VerbatimChar"/>
        </w:rPr>
        <w:t xml:space="preserve">enrich/route.ts</w:t>
      </w:r>
      <w:r>
        <w:t xml:space="preserve"> </w:t>
      </w:r>
      <w:r>
        <w:t xml:space="preserve">implementation simulates its pipeline with fixed-latency calls rather</w:t>
      </w:r>
      <w:r>
        <w:t xml:space="preserve"> </w:t>
      </w:r>
      <w:r>
        <w:t xml:space="preserve">than live API/RPC integration, so the gap between</w:t>
      </w:r>
      <w:r>
        <w:t xml:space="preserve"> </w:t>
      </w:r>
      <w:r>
        <w:t xml:space="preserve">“</w:t>
      </w:r>
      <w:r>
        <w:t xml:space="preserve">model exists as</w:t>
      </w:r>
      <w:r>
        <w:t xml:space="preserve"> </w:t>
      </w:r>
      <w:r>
        <w:t xml:space="preserve">methodology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model runs in production</w:t>
      </w:r>
      <w:r>
        <w:t xml:space="preserve">”</w:t>
      </w:r>
      <w:r>
        <w:t xml:space="preserve"> </w:t>
      </w:r>
      <w:r>
        <w:t xml:space="preserve">needs a straight answer</w:t>
      </w:r>
      <w:r>
        <w:t xml:space="preserve"> </w:t>
      </w:r>
      <w:r>
        <w:t xml:space="preserve">before investor diligence.]</w:t>
      </w:r>
    </w:p>
    <w:bookmarkEnd w:id="22"/>
    <w:bookmarkStart w:id="23" w:name="output-format"/>
    <w:p>
      <w:pPr>
        <w:pStyle w:val="Heading2"/>
      </w:pPr>
      <w:r>
        <w:t xml:space="preserve">Output format</w:t>
      </w:r>
    </w:p>
    <w:p>
      <w:pPr>
        <w:pStyle w:val="FirstParagraph"/>
      </w:pPr>
      <w:r>
        <w:t xml:space="preserve">Every stage of the Passaporte de Crédito Rural produces an</w:t>
      </w:r>
      <w:r>
        <w:t xml:space="preserve"> </w:t>
      </w:r>
      <w:r>
        <w:rPr>
          <w:bCs/>
          <w:b/>
        </w:rPr>
        <w:t xml:space="preserve">MCR 2-9</w:t>
      </w:r>
      <w:r>
        <w:rPr>
          <w:bCs/>
          <w:b/>
        </w:rPr>
        <w:t xml:space="preserve"> </w:t>
      </w:r>
      <w:r>
        <w:rPr>
          <w:bCs/>
          <w:b/>
        </w:rPr>
        <w:t xml:space="preserve">dossier, digitally signed with ICP-Brasil</w:t>
      </w:r>
      <w:r>
        <w:t xml:space="preserve">, audit-ready — this is what</w:t>
      </w:r>
      <w:r>
        <w:t xml:space="preserve"> </w:t>
      </w:r>
      <w:r>
        <w:t xml:space="preserve">makes the output usable as compliance evidence for Resolução CMN nº</w:t>
      </w:r>
      <w:r>
        <w:t xml:space="preserve"> </w:t>
      </w:r>
      <w:r>
        <w:t xml:space="preserve">5.267/2025 (see</w:t>
      </w:r>
      <w:r>
        <w:t xml:space="preserve"> </w:t>
      </w:r>
      <w:r>
        <w:rPr>
          <w:rStyle w:val="VerbatimChar"/>
        </w:rPr>
        <w:t xml:space="preserve">06-customers/MARKET_RESEARCH.md</w:t>
      </w:r>
      <w:r>
        <w:t xml:space="preserve">), not just an internal</w:t>
      </w:r>
      <w:r>
        <w:t xml:space="preserve"> </w:t>
      </w:r>
      <w:r>
        <w:t xml:space="preserve">analytics report.</w:t>
      </w:r>
    </w:p>
    <w:bookmarkEnd w:id="23"/>
    <w:bookmarkStart w:id="24" w:name="data-model-multi-tenant-b2b-ready"/>
    <w:p>
      <w:pPr>
        <w:pStyle w:val="Heading2"/>
      </w:pPr>
      <w:r>
        <w:t xml:space="preserve">Data model (multi-tenant, B2B-ready)</w:t>
      </w:r>
    </w:p>
    <w:p>
      <w:pPr>
        <w:pStyle w:val="FirstParagraph"/>
      </w:pPr>
      <w:r>
        <w:rPr>
          <w:rStyle w:val="VerbatimChar"/>
        </w:rPr>
        <w:t xml:space="preserve">saas/supabase/schema.sql</w:t>
      </w:r>
      <w:r>
        <w:t xml:space="preserve"> </w:t>
      </w:r>
      <w:r>
        <w:t xml:space="preserve">already models the actual buyer types for the</w:t>
      </w:r>
      <w:r>
        <w:t xml:space="preserve"> </w:t>
      </w:r>
      <w:r>
        <w:t xml:space="preserve">Passaporte de Crédito Rural:</w:t>
      </w:r>
      <w:r>
        <w:t xml:space="preserve"> </w:t>
      </w:r>
      <w:r>
        <w:rPr>
          <w:rStyle w:val="VerbatimChar"/>
        </w:rPr>
        <w:t xml:space="preserve">organizations</w:t>
      </w:r>
      <w:r>
        <w:t xml:space="preserve"> </w:t>
      </w:r>
      <w:r>
        <w:t xml:space="preserve">(bank, agribusiness,</w:t>
      </w:r>
      <w:r>
        <w:t xml:space="preserve"> </w:t>
      </w:r>
      <w:r>
        <w:t xml:space="preserve">investment_fund, cooperative, trader) and role-scoped users (</w:t>
      </w:r>
      <w:r>
        <w:rPr>
          <w:rStyle w:val="VerbatimChar"/>
        </w:rPr>
        <w:t xml:space="preserve">b2c</w:t>
      </w:r>
      <w:r>
        <w:t xml:space="preserve">,</w:t>
      </w:r>
      <w:r>
        <w:t xml:space="preserve"> </w:t>
      </w:r>
      <w:r>
        <w:rPr>
          <w:rStyle w:val="VerbatimChar"/>
        </w:rPr>
        <w:t xml:space="preserve">b2b_admin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b2b_viewer</w:t>
      </w:r>
      <w:r>
        <w:t xml:space="preserve">), with</w:t>
      </w:r>
      <w:r>
        <w:t xml:space="preserve"> </w:t>
      </w:r>
      <w:r>
        <w:rPr>
          <w:rStyle w:val="VerbatimChar"/>
        </w:rPr>
        <w:t xml:space="preserve">land_parcels</w:t>
      </w:r>
      <w:r>
        <w:t xml:space="preserve"> </w:t>
      </w:r>
      <w:r>
        <w:t xml:space="preserve">carrying CAR code,</w:t>
      </w:r>
      <w:r>
        <w:t xml:space="preserve"> </w:t>
      </w:r>
      <w:r>
        <w:t xml:space="preserve">PostGIS geometry, and compliance/metrics JSON.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AgrosTech — Tech Stack Overview v2.0 | Confidencial | 2026 | Reconciled against the founder’s pitch deck (2026-09-24)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2026-09-24T13:17:04Z</dcterms:created>
  <dcterms:modified xsi:type="dcterms:W3CDTF">2026-09-24T13:17:04Z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