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grostech-one-pager"/>
    <w:p>
      <w:pPr>
        <w:pStyle w:val="Heading1"/>
      </w:pPr>
      <w:r>
        <w:t xml:space="preserve">AgrosTech — One-Pager</w:t>
      </w:r>
    </w:p>
    <w:p>
      <w:pPr>
        <w:pStyle w:val="FirstParagraph"/>
      </w:pPr>
      <w:r>
        <w:rPr>
          <w:iCs/>
          <w:i/>
        </w:rPr>
        <w:t xml:space="preserve">Português abaixo / Portuguese below</w:t>
      </w:r>
    </w:p>
    <w:p>
      <w:pPr>
        <w:pStyle w:val="BodyText"/>
      </w:pPr>
      <w:r>
        <w:rPr>
          <w:bCs/>
          <w:b/>
        </w:rPr>
        <w:t xml:space="preserve">Status: ✅ reconciled against the founder’s pitch deck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AgrosTech_Pitch_Narrativo.pdf</w:t>
      </w:r>
      <w:r>
        <w:rPr>
          <w:bCs/>
          <w:b/>
        </w:rPr>
        <w:t xml:space="preserve">), 2026-09-24.</w:t>
      </w:r>
    </w:p>
    <w:p>
      <w:r>
        <w:pict>
          <v:rect style="width:0;height:1.5pt" o:hralign="center" o:hrstd="t" o:hr="t"/>
        </w:pict>
      </w:r>
    </w:p>
    <w:bookmarkStart w:id="20" w:name="english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Cs/>
          <w:b/>
        </w:rPr>
        <w:t xml:space="preserve">The bank never saw the land. AgrosTech makes it see.</w:t>
      </w:r>
    </w:p>
    <w:p>
      <w:pPr>
        <w:pStyle w:val="BodyText"/>
      </w:pPr>
      <w:r>
        <w:rPr>
          <w:bCs/>
          <w:b/>
        </w:rPr>
        <w:t xml:space="preserve">Problem.</w:t>
      </w:r>
      <w:r>
        <w:t xml:space="preserve"> </w:t>
      </w:r>
      <w:r>
        <w:t xml:space="preserve">R$ 800 billion (≈ US$ 157 billion) in active Brazilian</w:t>
      </w:r>
      <w:r>
        <w:t xml:space="preserve"> </w:t>
      </w:r>
      <w:r>
        <w:t xml:space="preserve">rural credit is exposed to four fraud vectors the paperwork doesn’t</w:t>
      </w:r>
      <w:r>
        <w:t xml:space="preserve"> </w:t>
      </w:r>
      <w:r>
        <w:t xml:space="preserve">show: falsified land area, grain diverted before loan maturity,</w:t>
      </w:r>
      <w:r>
        <w:t xml:space="preserve"> </w:t>
      </w:r>
      <w:r>
        <w:t xml:space="preserve">judicial-recovery filings used as a shield against collection, and</w:t>
      </w:r>
      <w:r>
        <w:t xml:space="preserve"> </w:t>
      </w:r>
      <w:r>
        <w:t xml:space="preserve">deforested land laundered through a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 </w:t>
      </w:r>
      <w:r>
        <w:t xml:space="preserve">CAR registration. A credit</w:t>
      </w:r>
      <w:r>
        <w:t xml:space="preserve"> </w:t>
      </w:r>
      <w:r>
        <w:t xml:space="preserve">analyst in São Paulo approves financing for a farm 2,000km away she has</w:t>
      </w:r>
      <w:r>
        <w:t xml:space="preserve"> </w:t>
      </w:r>
      <w:r>
        <w:t xml:space="preserve">never seen and never will.</w:t>
      </w:r>
    </w:p>
    <w:p>
      <w:pPr>
        <w:pStyle w:val="BodyText"/>
      </w:pPr>
      <w:r>
        <w:rPr>
          <w:bCs/>
          <w:b/>
        </w:rPr>
        <w:t xml:space="preserve">Regulatory driver.</w:t>
      </w:r>
      <w:r>
        <w:t xml:space="preserve"> </w:t>
      </w:r>
      <w:r>
        <w:t xml:space="preserve">As of March 2026, Banco Central’s</w:t>
      </w:r>
      <w:r>
        <w:t xml:space="preserve"> </w:t>
      </w:r>
      <w:r>
        <w:rPr>
          <w:bCs/>
          <w:b/>
        </w:rPr>
        <w:t xml:space="preserve">Resolução CMN</w:t>
      </w:r>
      <w:r>
        <w:rPr>
          <w:bCs/>
          <w:b/>
        </w:rPr>
        <w:t xml:space="preserve"> </w:t>
      </w:r>
      <w:r>
        <w:rPr>
          <w:bCs/>
          <w:b/>
        </w:rPr>
        <w:t xml:space="preserve">nº 5.267/2025</w:t>
      </w:r>
      <w:r>
        <w:t xml:space="preserve"> </w:t>
      </w:r>
      <w:r>
        <w:t xml:space="preserve">requires rural-credit compliance to be proven by remote</w:t>
      </w:r>
      <w:r>
        <w:t xml:space="preserve"> </w:t>
      </w:r>
      <w:r>
        <w:t xml:space="preserve">sensing — and makes clear that outsourcing the check doesn’t outsource</w:t>
      </w:r>
      <w:r>
        <w:t xml:space="preserve"> </w:t>
      </w:r>
      <w:r>
        <w:t xml:space="preserve">the liability: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legal and regulatory responsibility for compliance</w:t>
      </w:r>
      <w:r>
        <w:rPr>
          <w:iCs/>
          <w:i/>
        </w:rPr>
        <w:t xml:space="preserve"> </w:t>
      </w:r>
      <w:r>
        <w:rPr>
          <w:iCs/>
          <w:i/>
        </w:rPr>
        <w:t xml:space="preserve">remains non-delegable</w:t>
      </w:r>
      <w:r>
        <w:rPr>
          <w:iCs/>
          <w:i/>
        </w:rPr>
        <w:t xml:space="preserve">”</w:t>
      </w:r>
      <w:r>
        <w:t xml:space="preserve"> </w:t>
      </w:r>
      <w:r>
        <w:t xml:space="preserve">(BCB, MCR 2-9). The excuse of</w:t>
      </w:r>
      <w:r>
        <w:t xml:space="preserve"> </w:t>
      </w:r>
      <w:r>
        <w:t xml:space="preserve">“</w:t>
      </w:r>
      <w:r>
        <w:t xml:space="preserve">we didn’t have</w:t>
      </w:r>
      <w:r>
        <w:t xml:space="preserve"> </w:t>
      </w:r>
      <w:r>
        <w:t xml:space="preserve">the tools</w:t>
      </w:r>
      <w:r>
        <w:t xml:space="preserve">”</w:t>
      </w:r>
      <w:r>
        <w:t xml:space="preserve"> </w:t>
      </w:r>
      <w:r>
        <w:t xml:space="preserve">is gone.</w:t>
      </w:r>
    </w:p>
    <w:p>
      <w:pPr>
        <w:pStyle w:val="BodyText"/>
      </w:pPr>
      <w:r>
        <w:rPr>
          <w:bCs/>
          <w:b/>
        </w:rPr>
        <w:t xml:space="preserve">Product — Passaporte de Crédito Rural.</w:t>
      </w:r>
      <w:r>
        <w:t xml:space="preserve"> </w:t>
      </w:r>
      <w:r>
        <w:t xml:space="preserve">The life of a loan, start to</w:t>
      </w:r>
      <w:r>
        <w:t xml:space="preserve"> </w:t>
      </w:r>
      <w:r>
        <w:t xml:space="preserve">finish, with proof:</w:t>
      </w:r>
      <w:r>
        <w:t xml:space="preserve"> </w:t>
      </w:r>
      <w:r>
        <w:rPr>
          <w:bCs/>
          <w:b/>
        </w:rPr>
        <w:t xml:space="preserve">before signing</w:t>
      </w:r>
      <w:r>
        <w:t xml:space="preserve">, the actual productive area (CAR,</w:t>
      </w:r>
      <w:r>
        <w:t xml:space="preserve"> </w:t>
      </w:r>
      <w:r>
        <w:t xml:space="preserve">perimeter, net usable area — legal reserve, APP, and slopes excluded);</w:t>
      </w:r>
      <w:r>
        <w:t xml:space="preserve"> </w:t>
      </w:r>
      <w:r>
        <w:rPr>
          <w:bCs/>
          <w:b/>
        </w:rPr>
        <w:t xml:space="preserve">at disbursement</w:t>
      </w:r>
      <w:r>
        <w:t xml:space="preserve">, the operation tied to the map (collateral, project,</w:t>
      </w:r>
      <w:r>
        <w:t xml:space="preserve"> </w:t>
      </w:r>
      <w:r>
        <w:t xml:space="preserve">and baseline registered);</w:t>
      </w:r>
      <w:r>
        <w:t xml:space="preserve"> </w:t>
      </w:r>
      <w:r>
        <w:rPr>
          <w:bCs/>
          <w:b/>
        </w:rPr>
        <w:t xml:space="preserve">through harvest</w:t>
      </w:r>
      <w:r>
        <w:t xml:space="preserve">, alerts when something</w:t>
      </w:r>
      <w:r>
        <w:t xml:space="preserve"> </w:t>
      </w:r>
      <w:r>
        <w:t xml:space="preserve">changes (radar that sees through clouds; drone only when there’s an</w:t>
      </w:r>
      <w:r>
        <w:t xml:space="preserve"> </w:t>
      </w:r>
      <w:r>
        <w:t xml:space="preserve">anomaly). Every stage produces an MCR 2-9 dossier, ICP-Brasil signed,</w:t>
      </w:r>
      <w:r>
        <w:t xml:space="preserve"> </w:t>
      </w:r>
      <w:r>
        <w:t xml:space="preserve">audit-ready.</w:t>
      </w:r>
    </w:p>
    <w:p>
      <w:pPr>
        <w:pStyle w:val="BodyText"/>
      </w:pPr>
      <w:r>
        <w:rPr>
          <w:bCs/>
          <w:b/>
        </w:rPr>
        <w:t xml:space="preserve">Pricing.</w:t>
      </w:r>
      <w:r>
        <w:t xml:space="preserve"> </w:t>
      </w:r>
      <w:r>
        <w:rPr>
          <w:bCs/>
          <w:b/>
        </w:rPr>
        <w:t xml:space="preserve">US$ 0.80/ha/year</w:t>
      </w:r>
      <w:r>
        <w:t xml:space="preserve"> </w:t>
      </w:r>
      <w:r>
        <w:t xml:space="preserve">(≈ R$ 4/ha/year) — less than a cup of</w:t>
      </w:r>
      <w:r>
        <w:t xml:space="preserve"> </w:t>
      </w:r>
      <w:r>
        <w:t xml:space="preserve">coffee, per the deck’s own framing.</w:t>
      </w:r>
    </w:p>
    <w:p>
      <w:pPr>
        <w:pStyle w:val="BodyText"/>
      </w:pPr>
      <w:r>
        <w:rPr>
          <w:bCs/>
          <w:b/>
        </w:rPr>
        <w:t xml:space="preserve">Traction.</w:t>
      </w:r>
      <w:r>
        <w:t xml:space="preserve"> </w:t>
      </w:r>
      <w:r>
        <w:t xml:space="preserve">First paid project delivered: 220 ha in Minas Gerais,</w:t>
      </w:r>
      <w:r>
        <w:t xml:space="preserve"> </w:t>
      </w:r>
      <w:r>
        <w:t xml:space="preserve">which generated retention and a scope renegotiation. ~35,000 ha</w:t>
      </w:r>
      <w:r>
        <w:t xml:space="preserve"> </w:t>
      </w:r>
      <w:r>
        <w:t xml:space="preserve">prospected in pipeline via a consultant covering 200+ cacao producers</w:t>
      </w:r>
      <w:r>
        <w:t xml:space="preserve"> </w:t>
      </w:r>
      <w:r>
        <w:t xml:space="preserve">plus a global trading/barter manager. 200,000+ hectares overflown across</w:t>
      </w:r>
      <w:r>
        <w:t xml:space="preserve"> </w:t>
      </w:r>
      <w:r>
        <w:t xml:space="preserve">the founding team’s combined prior experience, Sudan to Mato Grosso. An</w:t>
      </w:r>
      <w:r>
        <w:t xml:space="preserve"> </w:t>
      </w:r>
      <w:r>
        <w:t xml:space="preserve">academic MOU with CDT/UnB for agronomic and technology validation.</w:t>
      </w:r>
    </w:p>
    <w:p>
      <w:pPr>
        <w:pStyle w:val="BodyText"/>
      </w:pPr>
      <w:r>
        <w:rPr>
          <w:bCs/>
          <w:b/>
        </w:rPr>
        <w:t xml:space="preserve">Market.</w:t>
      </w:r>
      <w:r>
        <w:t xml:space="preserve"> </w:t>
      </w:r>
      <w:r>
        <w:t xml:space="preserve">US$ 880M total addressable market (80M+ ha in evidence);</w:t>
      </w:r>
      <w:r>
        <w:t xml:space="preserve"> </w:t>
      </w:r>
      <w:r>
        <w:t xml:space="preserve">US$ 125M addressable in the initial states (MT, GO, MG, PR, RS); a</w:t>
      </w:r>
      <w:r>
        <w:t xml:space="preserve"> </w:t>
      </w:r>
      <w:r>
        <w:t xml:space="preserve">US$ 3M revenue target in 36 months.</w:t>
      </w:r>
    </w:p>
    <w:p>
      <w:pPr>
        <w:pStyle w:val="BodyText"/>
      </w:pPr>
      <w:r>
        <w:rPr>
          <w:bCs/>
          <w:b/>
        </w:rPr>
        <w:t xml:space="preserve">Team.</w:t>
      </w:r>
      <w:r>
        <w:t xml:space="preserve"> </w:t>
      </w:r>
      <w:r>
        <w:t xml:space="preserve">Amgad Salih (CEO, interim CTO — founded a precision-ag company</w:t>
      </w:r>
      <w:r>
        <w:t xml:space="preserve"> </w:t>
      </w:r>
      <w:r>
        <w:t xml:space="preserve">in Sudan, led strategy/GTM at Keeta Brazil), Diana Dutra (CCO — built</w:t>
      </w:r>
      <w:r>
        <w:t xml:space="preserve"> </w:t>
      </w:r>
      <w:r>
        <w:t xml:space="preserve">markets/partnerships at Coca-Cola, BRF, Rappi, Hunter Douglas), Lucas</w:t>
      </w:r>
      <w:r>
        <w:t xml:space="preserve"> </w:t>
      </w:r>
      <w:r>
        <w:t xml:space="preserve">Costa (CDO — 7+ years drone pilot/instructor at Xmobots &amp; DJI, rural</w:t>
      </w:r>
      <w:r>
        <w:t xml:space="preserve"> </w:t>
      </w:r>
      <w:r>
        <w:t xml:space="preserve">producer).</w:t>
      </w:r>
    </w:p>
    <w:p>
      <w:pPr>
        <w:pStyle w:val="BodyText"/>
      </w:pPr>
      <w:r>
        <w:rPr>
          <w:bCs/>
          <w:b/>
        </w:rPr>
        <w:t xml:space="preserve">The ask.</w:t>
      </w:r>
      <w:r>
        <w:t xml:space="preserve"> </w:t>
      </w:r>
      <w:r>
        <w:rPr>
          <w:bCs/>
          <w:b/>
        </w:rPr>
        <w:t xml:space="preserve">US$ 600,000</w:t>
      </w:r>
      <w:r>
        <w:t xml:space="preserve"> </w:t>
      </w:r>
      <w:r>
        <w:t xml:space="preserve">via a YC post-money SAFE, 15%, valuation</w:t>
      </w:r>
      <w:r>
        <w:t xml:space="preserve"> </w:t>
      </w:r>
      <w:r>
        <w:t xml:space="preserve">cap</w:t>
      </w:r>
      <w:r>
        <w:t xml:space="preserve"> </w:t>
      </w:r>
      <w:r>
        <w:rPr>
          <w:bCs/>
          <w:b/>
        </w:rPr>
        <w:t xml:space="preserve">US$ 4,000,000</w:t>
      </w:r>
      <w:r>
        <w:t xml:space="preserve">, 4-year vesting with a 1-year cliff. Delaware</w:t>
      </w:r>
      <w:r>
        <w:t xml:space="preserve"> </w:t>
      </w:r>
      <w:r>
        <w:t xml:space="preserve">holding company owning a Brazilian LTDA.</w:t>
      </w:r>
    </w:p>
    <w:p>
      <w:pPr>
        <w:pStyle w:val="BodyText"/>
      </w:pPr>
      <w:r>
        <w:rPr>
          <w:bCs/>
          <w:b/>
        </w:rPr>
        <w:t xml:space="preserve">Vision.</w:t>
      </w:r>
      <w:r>
        <w:t xml:space="preserve"> </w:t>
      </w:r>
      <w:r>
        <w:t xml:space="preserve">From field-level evidence to the</w:t>
      </w:r>
      <w:r>
        <w:t xml:space="preserve"> </w:t>
      </w:r>
      <w:r>
        <w:rPr>
          <w:iCs/>
          <w:i/>
        </w:rPr>
        <w:t xml:space="preserve">Passaporte de Crédito</w:t>
      </w:r>
      <w:r>
        <w:rPr>
          <w:iCs/>
          <w:i/>
        </w:rPr>
        <w:t xml:space="preserve"> </w:t>
      </w:r>
      <w:r>
        <w:rPr>
          <w:iCs/>
          <w:i/>
        </w:rPr>
        <w:t xml:space="preserve">Rural</w:t>
      </w:r>
      <w:r>
        <w:t xml:space="preserve"> </w:t>
      </w:r>
      <w:r>
        <w:t xml:space="preserve">— now the bank sees the land.</w:t>
      </w:r>
    </w:p>
    <w:p>
      <w:r>
        <w:pict>
          <v:rect style="width:0;height:1.5pt" o:hralign="center" o:hrstd="t" o:hr="t"/>
        </w:pict>
      </w:r>
    </w:p>
    <w:bookmarkEnd w:id="20"/>
    <w:bookmarkStart w:id="21" w:name="português"/>
    <w:p>
      <w:pPr>
        <w:pStyle w:val="Heading2"/>
      </w:pPr>
      <w:r>
        <w:t xml:space="preserve">Português</w:t>
      </w:r>
    </w:p>
    <w:p>
      <w:pPr>
        <w:pStyle w:val="FirstParagraph"/>
      </w:pPr>
      <w:r>
        <w:rPr>
          <w:bCs/>
          <w:b/>
        </w:rPr>
        <w:t xml:space="preserve">O banco nunca viu a terra. A AgrosTech faz ele ver.</w:t>
      </w:r>
    </w:p>
    <w:p>
      <w:pPr>
        <w:pStyle w:val="BodyText"/>
      </w:pPr>
      <w:r>
        <w:rPr>
          <w:bCs/>
          <w:b/>
        </w:rPr>
        <w:t xml:space="preserve">Problema.</w:t>
      </w:r>
      <w:r>
        <w:t xml:space="preserve"> </w:t>
      </w:r>
      <w:r>
        <w:t xml:space="preserve">R$ 800 bilhões (≈ US$ 157 bi) em crédito rural ativo estão</w:t>
      </w:r>
      <w:r>
        <w:t xml:space="preserve"> </w:t>
      </w:r>
      <w:r>
        <w:t xml:space="preserve">expostos a quatro fraudes que o papel não mostra: terra falsa, fuga de</w:t>
      </w:r>
      <w:r>
        <w:t xml:space="preserve"> </w:t>
      </w:r>
      <w:r>
        <w:t xml:space="preserve">grãos antes do vencimento, escudo da recuperação judicial contra</w:t>
      </w:r>
      <w:r>
        <w:t xml:space="preserve"> </w:t>
      </w:r>
      <w:r>
        <w:t xml:space="preserve">cobrança, e lavagem ESG de área desmatada via CAR</w:t>
      </w:r>
      <w:r>
        <w:t xml:space="preserve"> </w:t>
      </w:r>
      <w:r>
        <w:t xml:space="preserve">“</w:t>
      </w:r>
      <w:r>
        <w:t xml:space="preserve">limpo</w:t>
      </w:r>
      <w:r>
        <w:t xml:space="preserve">”</w:t>
      </w:r>
      <w:r>
        <w:t xml:space="preserve">. Uma analista</w:t>
      </w:r>
      <w:r>
        <w:t xml:space="preserve"> </w:t>
      </w:r>
      <w:r>
        <w:t xml:space="preserve">de crédito em São Paulo aprova financiamento para uma fazenda a quase</w:t>
      </w:r>
      <w:r>
        <w:t xml:space="preserve"> </w:t>
      </w:r>
      <w:r>
        <w:t xml:space="preserve">dois mil quilômetros dali — ela nunca pisou e nunca vai pisar lá.</w:t>
      </w:r>
    </w:p>
    <w:p>
      <w:pPr>
        <w:pStyle w:val="BodyText"/>
      </w:pPr>
      <w:r>
        <w:rPr>
          <w:bCs/>
          <w:b/>
        </w:rPr>
        <w:t xml:space="preserve">Gatilho regulatório.</w:t>
      </w:r>
      <w:r>
        <w:t xml:space="preserve"> </w:t>
      </w:r>
      <w:r>
        <w:t xml:space="preserve">Desde março de 2026, a Resolução CMN nº</w:t>
      </w:r>
      <w:r>
        <w:t xml:space="preserve"> </w:t>
      </w:r>
      <w:r>
        <w:t xml:space="preserve">5.267/2025 do Banco Central exige que a fiscalização do crédito rural</w:t>
      </w:r>
      <w:r>
        <w:t xml:space="preserve"> </w:t>
      </w:r>
      <w:r>
        <w:t xml:space="preserve">seja comprovada por sensoriamento remoto — e deixa claro que terceirizar</w:t>
      </w:r>
      <w:r>
        <w:t xml:space="preserve"> </w:t>
      </w:r>
      <w:r>
        <w:t xml:space="preserve">a checagem não terceiriza a responsabilidade: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responsabilidade legal</w:t>
      </w:r>
      <w:r>
        <w:rPr>
          <w:iCs/>
          <w:i/>
        </w:rPr>
        <w:t xml:space="preserve"> </w:t>
      </w:r>
      <w:r>
        <w:rPr>
          <w:iCs/>
          <w:i/>
        </w:rPr>
        <w:t xml:space="preserve">e regulatória pela conformidade continua sendo indelegavelmente dela</w:t>
      </w:r>
      <w:r>
        <w:rPr>
          <w:iCs/>
          <w:i/>
        </w:rPr>
        <w:t xml:space="preserve">”</w:t>
      </w:r>
      <w:r>
        <w:t xml:space="preserve"> </w:t>
      </w:r>
      <w:r>
        <w:t xml:space="preserve">(BCB, MCR 2-9).</w:t>
      </w:r>
    </w:p>
    <w:p>
      <w:pPr>
        <w:pStyle w:val="BodyText"/>
      </w:pPr>
      <w:r>
        <w:rPr>
          <w:bCs/>
          <w:b/>
        </w:rPr>
        <w:t xml:space="preserve">Produto — Passaporte de Crédito Rural.</w:t>
      </w:r>
      <w:r>
        <w:t xml:space="preserve"> </w:t>
      </w:r>
      <w:r>
        <w:t xml:space="preserve">A vida de um empréstimo, do</w:t>
      </w:r>
      <w:r>
        <w:t xml:space="preserve"> </w:t>
      </w:r>
      <w:r>
        <w:t xml:space="preserve">começo ao fim, com prova:</w:t>
      </w:r>
      <w:r>
        <w:t xml:space="preserve"> </w:t>
      </w:r>
      <w:r>
        <w:rPr>
          <w:bCs/>
          <w:b/>
        </w:rPr>
        <w:t xml:space="preserve">antes de assinar</w:t>
      </w:r>
      <w:r>
        <w:t xml:space="preserve">, a área que realmente</w:t>
      </w:r>
      <w:r>
        <w:t xml:space="preserve"> </w:t>
      </w:r>
      <w:r>
        <w:t xml:space="preserve">produz (CAR, perímetro e área útil líquida, sem Reserva Legal, APP e</w:t>
      </w:r>
      <w:r>
        <w:t xml:space="preserve"> </w:t>
      </w:r>
      <w:r>
        <w:t xml:space="preserve">declives);</w:t>
      </w:r>
      <w:r>
        <w:t xml:space="preserve"> </w:t>
      </w:r>
      <w:r>
        <w:rPr>
          <w:bCs/>
          <w:b/>
        </w:rPr>
        <w:t xml:space="preserve">ao liberar</w:t>
      </w:r>
      <w:r>
        <w:t xml:space="preserve">, a operação amarrada ao mapa (garantia,</w:t>
      </w:r>
      <w:r>
        <w:t xml:space="preserve"> </w:t>
      </w:r>
      <w:r>
        <w:t xml:space="preserve">projeto e linha de base registrados);</w:t>
      </w:r>
      <w:r>
        <w:t xml:space="preserve"> </w:t>
      </w:r>
      <w:r>
        <w:rPr>
          <w:bCs/>
          <w:b/>
        </w:rPr>
        <w:t xml:space="preserve">até a colheita</w:t>
      </w:r>
      <w:r>
        <w:t xml:space="preserve">, alertas quando</w:t>
      </w:r>
      <w:r>
        <w:t xml:space="preserve"> </w:t>
      </w:r>
      <w:r>
        <w:t xml:space="preserve">algo muda (radar que atravessa nuvens; drone só quando há anomalia).</w:t>
      </w:r>
      <w:r>
        <w:t xml:space="preserve"> </w:t>
      </w:r>
      <w:r>
        <w:t xml:space="preserve">Cada etapa gera um dossiê MCR 2-9 assinado com ICP-Brasil, pronto para o</w:t>
      </w:r>
      <w:r>
        <w:t xml:space="preserve"> </w:t>
      </w:r>
      <w:r>
        <w:t xml:space="preserve">auditor.</w:t>
      </w:r>
    </w:p>
    <w:p>
      <w:pPr>
        <w:pStyle w:val="BodyText"/>
      </w:pPr>
      <w:r>
        <w:rPr>
          <w:bCs/>
          <w:b/>
        </w:rPr>
        <w:t xml:space="preserve">Precificação.</w:t>
      </w:r>
      <w:r>
        <w:t xml:space="preserve"> </w:t>
      </w:r>
      <w:r>
        <w:rPr>
          <w:bCs/>
          <w:b/>
        </w:rPr>
        <w:t xml:space="preserve">US$ 0,80/ha/ano</w:t>
      </w:r>
      <w:r>
        <w:t xml:space="preserve"> </w:t>
      </w:r>
      <w:r>
        <w:t xml:space="preserve">(≈ R$ 4/ha/ano) — menos que um</w:t>
      </w:r>
      <w:r>
        <w:t xml:space="preserve"> </w:t>
      </w:r>
      <w:r>
        <w:t xml:space="preserve">cafezinho.</w:t>
      </w:r>
    </w:p>
    <w:p>
      <w:pPr>
        <w:pStyle w:val="BodyText"/>
      </w:pPr>
      <w:r>
        <w:rPr>
          <w:bCs/>
          <w:b/>
        </w:rPr>
        <w:t xml:space="preserve">Tração.</w:t>
      </w:r>
      <w:r>
        <w:t xml:space="preserve"> </w:t>
      </w:r>
      <w:r>
        <w:t xml:space="preserve">Primeiro projeto pago entregue: 220 ha em Minas Gerais, que</w:t>
      </w:r>
      <w:r>
        <w:t xml:space="preserve"> </w:t>
      </w:r>
      <w:r>
        <w:t xml:space="preserve">gerou retenção e renegociação de escopo. ~35 mil ha prospectados em</w:t>
      </w:r>
      <w:r>
        <w:t xml:space="preserve"> </w:t>
      </w:r>
      <w:r>
        <w:t xml:space="preserve">pipeline via consultor com 200+ produtores de cacau e gestor de barter</w:t>
      </w:r>
      <w:r>
        <w:t xml:space="preserve"> </w:t>
      </w:r>
      <w:r>
        <w:t xml:space="preserve">de trading global. Mais de 200 mil hectares sobrevoados na experiência</w:t>
      </w:r>
      <w:r>
        <w:t xml:space="preserve"> </w:t>
      </w:r>
      <w:r>
        <w:t xml:space="preserve">combinada do time, do Sudão a Mato Grosso. MOU acadêmico com o CDT/UnB.</w:t>
      </w:r>
    </w:p>
    <w:p>
      <w:pPr>
        <w:pStyle w:val="BodyText"/>
      </w:pPr>
      <w:r>
        <w:rPr>
          <w:bCs/>
          <w:b/>
        </w:rPr>
        <w:t xml:space="preserve">Mercado.</w:t>
      </w:r>
      <w:r>
        <w:t xml:space="preserve"> </w:t>
      </w:r>
      <w:r>
        <w:t xml:space="preserve">US$ 880M de mercado total endereçável (80M+ ha em</w:t>
      </w:r>
      <w:r>
        <w:t xml:space="preserve"> </w:t>
      </w:r>
      <w:r>
        <w:t xml:space="preserve">evidência); US$ 125M endereçável nos estados iniciais (MT, GO, MG, PR,</w:t>
      </w:r>
      <w:r>
        <w:t xml:space="preserve"> </w:t>
      </w:r>
      <w:r>
        <w:t xml:space="preserve">RS); meta de US$ 3M de receita em 36 meses.</w:t>
      </w:r>
    </w:p>
    <w:p>
      <w:pPr>
        <w:pStyle w:val="BodyText"/>
      </w:pPr>
      <w:r>
        <w:rPr>
          <w:bCs/>
          <w:b/>
        </w:rPr>
        <w:t xml:space="preserve">Equipe.</w:t>
      </w:r>
      <w:r>
        <w:t xml:space="preserve"> </w:t>
      </w:r>
      <w:r>
        <w:t xml:space="preserve">Amgad Salih (CEO, CTO interino), Diana Dutra (CCO), Lucas</w:t>
      </w:r>
      <w:r>
        <w:t xml:space="preserve"> </w:t>
      </w:r>
      <w:r>
        <w:t xml:space="preserve">Costa (CDO).</w:t>
      </w:r>
    </w:p>
    <w:p>
      <w:pPr>
        <w:pStyle w:val="BodyText"/>
      </w:pPr>
      <w:r>
        <w:rPr>
          <w:bCs/>
          <w:b/>
        </w:rPr>
        <w:t xml:space="preserve">O pedido.</w:t>
      </w:r>
      <w:r>
        <w:t xml:space="preserve"> </w:t>
      </w:r>
      <w:r>
        <w:rPr>
          <w:bCs/>
          <w:b/>
        </w:rPr>
        <w:t xml:space="preserve">US$ 600.000</w:t>
      </w:r>
      <w:r>
        <w:t xml:space="preserve"> </w:t>
      </w:r>
      <w:r>
        <w:t xml:space="preserve">via SAFE pós-money YC, 15%, cap de</w:t>
      </w:r>
      <w:r>
        <w:t xml:space="preserve"> </w:t>
      </w:r>
      <w:r>
        <w:t xml:space="preserve">valuation</w:t>
      </w:r>
      <w:r>
        <w:t xml:space="preserve"> </w:t>
      </w:r>
      <w:r>
        <w:rPr>
          <w:bCs/>
          <w:b/>
        </w:rPr>
        <w:t xml:space="preserve">US$ 4.000.000</w:t>
      </w:r>
      <w:r>
        <w:t xml:space="preserve">, vesting de 4 anos com cliff de 1 ano.</w:t>
      </w:r>
      <w:r>
        <w:t xml:space="preserve"> </w:t>
      </w:r>
      <w:r>
        <w:t xml:space="preserve">Holding em Delaware controlando uma LTDA brasileira.</w:t>
      </w:r>
    </w:p>
    <w:p>
      <w:pPr>
        <w:pStyle w:val="BodyText"/>
      </w:pPr>
      <w:r>
        <w:rPr>
          <w:bCs/>
          <w:b/>
        </w:rPr>
        <w:t xml:space="preserve">Visão.</w:t>
      </w:r>
      <w:r>
        <w:t xml:space="preserve"> </w:t>
      </w:r>
      <w:r>
        <w:t xml:space="preserve">Agora o banco vê a terra.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One-Pager v2.0 | Confidencial | 2026 | Reconciled against the founder’s pitch deck (2026-09-24)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2026-09-24T13:17:02Z</dcterms:created>
  <dcterms:modified xsi:type="dcterms:W3CDTF">2026-09-24T13:17:02Z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