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ring-plan"/>
    <w:p>
      <w:pPr>
        <w:pStyle w:val="Heading1"/>
      </w:pPr>
      <w:r>
        <w:t xml:space="preserve">Hiring Plan</w:t>
      </w:r>
    </w:p>
    <w:p>
      <w:pPr>
        <w:pStyle w:val="FirstParagraph"/>
      </w:pPr>
      <w:r>
        <w:rPr>
          <w:bCs/>
          <w:b/>
        </w:rPr>
        <w:t xml:space="preserve">Status: 🟡 sequencing logic confirmed; specific comp/timing marked [CONFIRM].</w:t>
      </w:r>
    </w:p>
    <w:p>
      <w:pPr>
        <w:pStyle w:val="BodyText"/>
      </w:pPr>
      <w:r>
        <w:t xml:space="preserve">What the R$3M round pays for, in headcount order. Full budget breakdown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(Hiring Plan tab) and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monthly cost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 / Head of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 currently covers this on an interim basis; closing this gap is the single highest-leverage hire in the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Geospatial/data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the pipeline that both the subscription product and survey services depend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Sales/commercial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pipeline conversion (Coplacana, Thales’ 30k ha, and beyond) without founder time as the bottleneck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additional roles]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this table intentionally excludes advisor compensation</w:t>
      </w:r>
      <w:r>
        <w:t xml:space="preserve"> </w:t>
      </w:r>
      <w:r>
        <w:t xml:space="preserve">(Gilberto, Chaim) per the founder’s scoping instruction — see</w:t>
      </w:r>
      <w:r>
        <w:t xml:space="preserve"> </w:t>
      </w:r>
      <w:r>
        <w:rPr>
          <w:rStyle w:val="VerbatimChar"/>
        </w:rPr>
        <w:t xml:space="preserve">02-team/ADVISOR_NOTE.md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Hiring Plan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