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ustomer-kpis"/>
    <w:p>
      <w:pPr>
        <w:pStyle w:val="Heading1"/>
      </w:pPr>
      <w:r>
        <w:t xml:space="preserve">Customer KPIs</w:t>
      </w:r>
    </w:p>
    <w:p>
      <w:pPr>
        <w:pStyle w:val="FirstParagraph"/>
      </w:pPr>
      <w:r>
        <w:rPr>
          <w:bCs/>
          <w:b/>
        </w:rPr>
        <w:t xml:space="preserve">Status: 🔴 no historical data yet to populate this — structure is ready for when the first subscription cohort exists.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Hectares under subscription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Renewal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Not yet measurable — no subscription has reached its first renewal 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 to deliver a report (survey services)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48h (per company standard elsewhere in this repo’s</w:t>
            </w:r>
            <w:r>
              <w:t xml:space="preserve"> </w:t>
            </w:r>
            <w:r>
              <w:rPr>
                <w:rStyle w:val="VerbatimChar"/>
              </w:rPr>
              <w:t xml:space="preserve">COMPANY_PROFILE.md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Worth confirming whether the subscription product’s continuous-update cadence differs from the one-off survey’s 48h delivery SLA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AgrosTech — Customer KPIs v1.0 | Confidencial | 2026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2026-09-24T13:17:04Z</dcterms:created>
  <dcterms:modified xsi:type="dcterms:W3CDTF">2026-09-24T13:17:04Z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